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3B4954">
      <w:pPr>
        <w:pStyle w:val="6"/>
        <w:pageBreakBefore w:val="0"/>
        <w:kinsoku/>
        <w:wordWrap/>
        <w:overflowPunct/>
        <w:topLinePunct w:val="0"/>
        <w:bidi w:val="0"/>
        <w:spacing w:beforeLines="0" w:line="480" w:lineRule="exact"/>
        <w:rPr>
          <w:rFonts w:hint="eastAsia" w:ascii="Times New Roman" w:hAnsi="Times New Roman" w:eastAsia="方正小标宋简体" w:cs="Times New Roman"/>
          <w:color w:val="auto"/>
          <w:kern w:val="2"/>
          <w:sz w:val="72"/>
          <w:szCs w:val="72"/>
          <w:highlight w:val="none"/>
          <w:lang w:val="en-US" w:eastAsia="zh-CN" w:bidi="ar-SA"/>
        </w:rPr>
      </w:pPr>
      <w:bookmarkStart w:id="0" w:name="_Toc15377425"/>
      <w:bookmarkStart w:id="1" w:name="_Toc15396475"/>
      <w:bookmarkStart w:id="2" w:name="_Toc15396597"/>
      <w:bookmarkStart w:id="3" w:name="_Toc15377193"/>
      <w:bookmarkStart w:id="4" w:name="_Toc15378441"/>
      <w:bookmarkStart w:id="5" w:name="_Toc15306267"/>
    </w:p>
    <w:p w14:paraId="4B67DF04">
      <w:pPr>
        <w:pStyle w:val="6"/>
        <w:pageBreakBefore w:val="0"/>
        <w:kinsoku/>
        <w:wordWrap/>
        <w:overflowPunct/>
        <w:topLinePunct w:val="0"/>
        <w:bidi w:val="0"/>
        <w:spacing w:beforeLines="0" w:line="480" w:lineRule="exact"/>
        <w:rPr>
          <w:rFonts w:hint="eastAsia" w:ascii="Times New Roman" w:hAnsi="Times New Roman" w:eastAsia="方正小标宋简体" w:cs="Times New Roman"/>
          <w:color w:val="auto"/>
          <w:kern w:val="2"/>
          <w:sz w:val="72"/>
          <w:szCs w:val="72"/>
          <w:highlight w:val="none"/>
          <w:lang w:val="en-US" w:eastAsia="zh-CN" w:bidi="ar-SA"/>
        </w:rPr>
      </w:pPr>
    </w:p>
    <w:p w14:paraId="577E6A7F">
      <w:pPr>
        <w:pStyle w:val="6"/>
        <w:pageBreakBefore w:val="0"/>
        <w:kinsoku/>
        <w:wordWrap/>
        <w:overflowPunct/>
        <w:topLinePunct w:val="0"/>
        <w:bidi w:val="0"/>
        <w:spacing w:beforeLines="0" w:line="480" w:lineRule="exact"/>
        <w:rPr>
          <w:rFonts w:hint="eastAsia" w:ascii="Times New Roman" w:hAnsi="Times New Roman" w:eastAsia="方正小标宋简体" w:cs="Times New Roman"/>
          <w:color w:val="auto"/>
          <w:kern w:val="2"/>
          <w:sz w:val="72"/>
          <w:szCs w:val="72"/>
          <w:highlight w:val="none"/>
          <w:lang w:val="en-US" w:eastAsia="zh-CN" w:bidi="ar-SA"/>
        </w:rPr>
      </w:pPr>
    </w:p>
    <w:p w14:paraId="21714856">
      <w:pPr>
        <w:pStyle w:val="6"/>
        <w:pageBreakBefore w:val="0"/>
        <w:kinsoku/>
        <w:wordWrap/>
        <w:overflowPunct/>
        <w:topLinePunct w:val="0"/>
        <w:bidi w:val="0"/>
        <w:spacing w:beforeLines="0" w:line="480" w:lineRule="exact"/>
        <w:jc w:val="center"/>
        <w:rPr>
          <w:rFonts w:hint="eastAsia" w:ascii="Times New Roman" w:hAnsi="Times New Roman" w:eastAsia="方正小标宋简体" w:cs="Times New Roman"/>
          <w:color w:val="auto"/>
          <w:kern w:val="2"/>
          <w:sz w:val="44"/>
          <w:szCs w:val="44"/>
          <w:highlight w:val="none"/>
          <w:lang w:val="en-US" w:eastAsia="zh-CN" w:bidi="ar-SA"/>
        </w:rPr>
      </w:pPr>
    </w:p>
    <w:p w14:paraId="47856BBB">
      <w:pPr>
        <w:pStyle w:val="6"/>
        <w:pageBreakBefore w:val="0"/>
        <w:kinsoku/>
        <w:wordWrap/>
        <w:overflowPunct/>
        <w:topLinePunct w:val="0"/>
        <w:bidi w:val="0"/>
        <w:spacing w:beforeLines="0" w:line="480" w:lineRule="exact"/>
        <w:jc w:val="center"/>
        <w:rPr>
          <w:rFonts w:hint="eastAsia" w:ascii="Times New Roman" w:hAnsi="Times New Roman" w:eastAsia="方正小标宋简体" w:cs="Times New Roman"/>
          <w:color w:val="auto"/>
          <w:kern w:val="2"/>
          <w:sz w:val="44"/>
          <w:szCs w:val="44"/>
          <w:highlight w:val="none"/>
          <w:lang w:val="en-US" w:eastAsia="zh-CN" w:bidi="ar-SA"/>
        </w:rPr>
      </w:pPr>
    </w:p>
    <w:p w14:paraId="3B526185">
      <w:pPr>
        <w:pStyle w:val="6"/>
        <w:pageBreakBefore w:val="0"/>
        <w:kinsoku/>
        <w:wordWrap/>
        <w:overflowPunct/>
        <w:topLinePunct w:val="0"/>
        <w:bidi w:val="0"/>
        <w:spacing w:beforeLines="0" w:line="480" w:lineRule="exact"/>
        <w:jc w:val="center"/>
        <w:rPr>
          <w:rFonts w:hint="eastAsia" w:ascii="Times New Roman" w:eastAsia="方正小标宋简体" w:cs="Times New Roman"/>
          <w:color w:val="auto"/>
          <w:kern w:val="2"/>
          <w:sz w:val="44"/>
          <w:szCs w:val="44"/>
          <w:highlight w:val="none"/>
          <w:lang w:val="en-US" w:eastAsia="zh-CN" w:bidi="ar-SA"/>
        </w:rPr>
      </w:pPr>
      <w:r>
        <w:rPr>
          <w:rFonts w:hint="eastAsia" w:ascii="Times New Roman" w:hAnsi="Times New Roman" w:eastAsia="方正小标宋简体" w:cs="Times New Roman"/>
          <w:color w:val="auto"/>
          <w:kern w:val="2"/>
          <w:sz w:val="44"/>
          <w:szCs w:val="44"/>
          <w:highlight w:val="none"/>
          <w:lang w:val="en-US" w:eastAsia="zh-CN" w:bidi="ar-SA"/>
        </w:rPr>
        <w:t>2024年度达古冰川</w:t>
      </w:r>
      <w:r>
        <w:rPr>
          <w:rFonts w:hint="eastAsia" w:ascii="Times New Roman" w:eastAsia="方正小标宋简体" w:cs="Times New Roman"/>
          <w:color w:val="auto"/>
          <w:kern w:val="2"/>
          <w:sz w:val="44"/>
          <w:szCs w:val="44"/>
          <w:highlight w:val="none"/>
          <w:lang w:val="en-US" w:eastAsia="zh-CN" w:bidi="ar-SA"/>
        </w:rPr>
        <w:t>风景</w:t>
      </w:r>
    </w:p>
    <w:p w14:paraId="55E5D7FB">
      <w:pPr>
        <w:pStyle w:val="6"/>
        <w:pageBreakBefore w:val="0"/>
        <w:kinsoku/>
        <w:wordWrap/>
        <w:overflowPunct/>
        <w:topLinePunct w:val="0"/>
        <w:bidi w:val="0"/>
        <w:spacing w:beforeLines="0" w:line="480" w:lineRule="exact"/>
        <w:jc w:val="center"/>
        <w:rPr>
          <w:rFonts w:hint="default" w:ascii="Times New Roman" w:hAnsi="Times New Roman" w:eastAsia="方正小标宋简体" w:cs="Times New Roman"/>
          <w:color w:val="auto"/>
          <w:kern w:val="2"/>
          <w:sz w:val="44"/>
          <w:szCs w:val="44"/>
          <w:highlight w:val="none"/>
          <w:lang w:val="en-US" w:eastAsia="zh-CN" w:bidi="ar-SA"/>
        </w:rPr>
      </w:pPr>
      <w:r>
        <w:rPr>
          <w:rFonts w:hint="eastAsia" w:ascii="Times New Roman" w:eastAsia="方正小标宋简体" w:cs="Times New Roman"/>
          <w:color w:val="auto"/>
          <w:kern w:val="2"/>
          <w:sz w:val="44"/>
          <w:szCs w:val="44"/>
          <w:highlight w:val="none"/>
          <w:lang w:val="en-US" w:eastAsia="zh-CN" w:bidi="ar-SA"/>
        </w:rPr>
        <w:t>名胜区</w:t>
      </w:r>
      <w:r>
        <w:rPr>
          <w:rFonts w:hint="eastAsia" w:ascii="Times New Roman" w:hAnsi="Times New Roman" w:eastAsia="方正小标宋简体" w:cs="Times New Roman"/>
          <w:color w:val="auto"/>
          <w:kern w:val="2"/>
          <w:sz w:val="44"/>
          <w:szCs w:val="44"/>
          <w:highlight w:val="none"/>
          <w:lang w:val="en-US" w:eastAsia="zh-CN" w:bidi="ar-SA"/>
        </w:rPr>
        <w:t>管理局决算公开说明</w:t>
      </w:r>
    </w:p>
    <w:p w14:paraId="20BD6036">
      <w:pPr>
        <w:pageBreakBefore w:val="0"/>
        <w:kinsoku/>
        <w:wordWrap/>
        <w:overflowPunct/>
        <w:topLinePunct w:val="0"/>
        <w:bidi w:val="0"/>
        <w:spacing w:line="480" w:lineRule="exact"/>
        <w:jc w:val="center"/>
        <w:outlineLvl w:val="0"/>
        <w:rPr>
          <w:rFonts w:ascii="Times New Roman" w:hAnsi="Times New Roman" w:eastAsia="方正小标宋简体"/>
          <w:color w:val="auto"/>
          <w:sz w:val="72"/>
          <w:szCs w:val="72"/>
          <w:highlight w:val="none"/>
        </w:rPr>
      </w:pPr>
    </w:p>
    <w:p w14:paraId="76897897">
      <w:pPr>
        <w:pStyle w:val="16"/>
        <w:pageBreakBefore w:val="0"/>
        <w:kinsoku/>
        <w:wordWrap/>
        <w:overflowPunct/>
        <w:topLinePunct w:val="0"/>
        <w:bidi w:val="0"/>
        <w:spacing w:before="0" w:after="0" w:line="480" w:lineRule="exact"/>
        <w:rPr>
          <w:rFonts w:ascii="Times New Roman" w:hAnsi="Times New Roman"/>
        </w:rPr>
        <w:sectPr>
          <w:headerReference r:id="rId4" w:type="first"/>
          <w:footerReference r:id="rId6" w:type="first"/>
          <w:headerReference r:id="rId3" w:type="default"/>
          <w:footerReference r:id="rId5" w:type="default"/>
          <w:pgSz w:w="11906" w:h="16838"/>
          <w:pgMar w:top="1440" w:right="1800" w:bottom="1440" w:left="1800" w:header="851" w:footer="992" w:gutter="0"/>
          <w:pgNumType w:fmt="decimal" w:start="1"/>
          <w:cols w:space="425" w:num="1"/>
          <w:titlePg/>
          <w:docGrid w:type="lines" w:linePitch="312" w:charSpace="0"/>
        </w:sectPr>
      </w:pPr>
    </w:p>
    <w:p w14:paraId="3CEEACCD">
      <w:pPr>
        <w:pageBreakBefore w:val="0"/>
        <w:kinsoku/>
        <w:wordWrap/>
        <w:overflowPunct/>
        <w:topLinePunct w:val="0"/>
        <w:bidi w:val="0"/>
        <w:spacing w:line="480" w:lineRule="exact"/>
        <w:rPr>
          <w:rFonts w:ascii="Times New Roman" w:hAnsi="Times New Roman"/>
        </w:rPr>
      </w:pPr>
    </w:p>
    <w:p w14:paraId="4E17CF7D">
      <w:pPr>
        <w:pStyle w:val="6"/>
        <w:pageBreakBefore w:val="0"/>
        <w:kinsoku/>
        <w:wordWrap/>
        <w:overflowPunct/>
        <w:topLinePunct w:val="0"/>
        <w:bidi w:val="0"/>
        <w:spacing w:beforeLines="0" w:line="480" w:lineRule="exact"/>
        <w:jc w:val="center"/>
        <w:rPr>
          <w:rFonts w:hint="eastAsia" w:ascii="Times New Roman" w:hAnsi="Times New Roman" w:eastAsia="方正小标宋简体" w:cs="Times New Roman"/>
          <w:color w:val="auto"/>
          <w:kern w:val="2"/>
          <w:sz w:val="44"/>
          <w:szCs w:val="44"/>
          <w:highlight w:val="none"/>
          <w:lang w:val="en-US" w:eastAsia="zh-CN" w:bidi="ar-SA"/>
        </w:rPr>
      </w:pPr>
    </w:p>
    <w:p w14:paraId="0CE0A011">
      <w:pPr>
        <w:pStyle w:val="6"/>
        <w:pageBreakBefore w:val="0"/>
        <w:kinsoku/>
        <w:wordWrap/>
        <w:overflowPunct/>
        <w:topLinePunct w:val="0"/>
        <w:bidi w:val="0"/>
        <w:spacing w:beforeLines="0" w:line="480" w:lineRule="exact"/>
        <w:jc w:val="center"/>
        <w:rPr>
          <w:rFonts w:hint="eastAsia" w:ascii="Times New Roman" w:hAnsi="Times New Roman" w:eastAsia="方正小标宋简体" w:cs="Times New Roman"/>
          <w:color w:val="auto"/>
          <w:kern w:val="2"/>
          <w:sz w:val="44"/>
          <w:szCs w:val="44"/>
          <w:highlight w:val="none"/>
          <w:lang w:val="en-US" w:eastAsia="zh-CN" w:bidi="ar-SA"/>
        </w:rPr>
      </w:pPr>
    </w:p>
    <w:p w14:paraId="1A8B095E">
      <w:pPr>
        <w:pStyle w:val="6"/>
        <w:pageBreakBefore w:val="0"/>
        <w:kinsoku/>
        <w:wordWrap/>
        <w:overflowPunct/>
        <w:topLinePunct w:val="0"/>
        <w:bidi w:val="0"/>
        <w:spacing w:beforeLines="0" w:line="480" w:lineRule="exact"/>
        <w:jc w:val="center"/>
        <w:rPr>
          <w:rFonts w:hint="eastAsia" w:ascii="Times New Roman" w:hAnsi="Times New Roman" w:eastAsia="方正小标宋简体" w:cs="Times New Roman"/>
          <w:color w:val="auto"/>
          <w:kern w:val="2"/>
          <w:sz w:val="44"/>
          <w:szCs w:val="44"/>
          <w:highlight w:val="none"/>
          <w:lang w:val="en-US" w:eastAsia="zh-CN" w:bidi="ar-SA"/>
        </w:rPr>
      </w:pPr>
    </w:p>
    <w:p w14:paraId="583AEC9C">
      <w:pPr>
        <w:pStyle w:val="6"/>
        <w:pageBreakBefore w:val="0"/>
        <w:kinsoku/>
        <w:wordWrap/>
        <w:overflowPunct/>
        <w:topLinePunct w:val="0"/>
        <w:bidi w:val="0"/>
        <w:spacing w:beforeLines="0" w:line="480" w:lineRule="exact"/>
        <w:jc w:val="center"/>
        <w:rPr>
          <w:rFonts w:hint="eastAsia" w:ascii="Times New Roman" w:hAnsi="Times New Roman" w:eastAsia="方正小标宋简体" w:cs="Times New Roman"/>
          <w:color w:val="auto"/>
          <w:kern w:val="2"/>
          <w:sz w:val="44"/>
          <w:szCs w:val="44"/>
          <w:highlight w:val="none"/>
          <w:lang w:val="en-US" w:eastAsia="zh-CN" w:bidi="ar-SA"/>
        </w:rPr>
      </w:pPr>
    </w:p>
    <w:bookmarkEnd w:id="0"/>
    <w:bookmarkEnd w:id="1"/>
    <w:bookmarkEnd w:id="2"/>
    <w:bookmarkEnd w:id="3"/>
    <w:bookmarkEnd w:id="4"/>
    <w:p w14:paraId="5F6BECF5">
      <w:pPr>
        <w:pStyle w:val="6"/>
        <w:pageBreakBefore w:val="0"/>
        <w:kinsoku/>
        <w:wordWrap/>
        <w:overflowPunct/>
        <w:topLinePunct w:val="0"/>
        <w:bidi w:val="0"/>
        <w:spacing w:beforeLines="0" w:line="480" w:lineRule="exact"/>
        <w:jc w:val="center"/>
        <w:rPr>
          <w:rFonts w:hint="eastAsia" w:ascii="Times New Roman" w:hAnsi="Times New Roman" w:eastAsia="方正小标宋简体" w:cs="Times New Roman"/>
          <w:color w:val="auto"/>
          <w:kern w:val="2"/>
          <w:sz w:val="44"/>
          <w:szCs w:val="44"/>
          <w:highlight w:val="none"/>
          <w:lang w:val="en-US" w:eastAsia="zh-CN" w:bidi="ar-SA"/>
        </w:rPr>
      </w:pPr>
      <w:bookmarkStart w:id="6" w:name="_Toc15377426"/>
      <w:bookmarkStart w:id="7" w:name="_Toc15396476"/>
      <w:bookmarkStart w:id="8" w:name="_Toc15377194"/>
      <w:bookmarkStart w:id="9" w:name="_Toc15378442"/>
      <w:bookmarkStart w:id="10" w:name="_Toc15396598"/>
      <w:r>
        <w:rPr>
          <w:rFonts w:hint="eastAsia" w:ascii="Times New Roman" w:hAnsi="Times New Roman" w:eastAsia="方正小标宋简体" w:cs="Times New Roman"/>
          <w:color w:val="auto"/>
          <w:kern w:val="2"/>
          <w:sz w:val="44"/>
          <w:szCs w:val="44"/>
          <w:highlight w:val="none"/>
          <w:lang w:val="en-US" w:eastAsia="zh-CN" w:bidi="ar-SA"/>
        </w:rPr>
        <w:t>2024年度四川省</w:t>
      </w:r>
      <w:bookmarkEnd w:id="5"/>
      <w:bookmarkStart w:id="11" w:name="_Toc15306268"/>
      <w:r>
        <w:rPr>
          <w:rFonts w:hint="eastAsia" w:ascii="Times New Roman" w:eastAsia="方正小标宋简体" w:cs="Times New Roman"/>
          <w:color w:val="auto"/>
          <w:kern w:val="2"/>
          <w:sz w:val="44"/>
          <w:szCs w:val="44"/>
          <w:highlight w:val="none"/>
          <w:lang w:val="en-US" w:eastAsia="zh-CN" w:bidi="ar-SA"/>
        </w:rPr>
        <w:t>达古冰川风景名胜区管理局</w:t>
      </w:r>
      <w:r>
        <w:rPr>
          <w:rFonts w:hint="eastAsia" w:ascii="Times New Roman" w:hAnsi="Times New Roman" w:eastAsia="方正小标宋简体" w:cs="Times New Roman"/>
          <w:color w:val="auto"/>
          <w:kern w:val="2"/>
          <w:sz w:val="44"/>
          <w:szCs w:val="44"/>
          <w:highlight w:val="none"/>
          <w:lang w:val="en-US" w:eastAsia="zh-CN" w:bidi="ar-SA"/>
        </w:rPr>
        <w:t>部门决算</w:t>
      </w:r>
      <w:bookmarkEnd w:id="6"/>
      <w:bookmarkEnd w:id="7"/>
      <w:bookmarkEnd w:id="8"/>
      <w:bookmarkEnd w:id="9"/>
      <w:bookmarkEnd w:id="10"/>
      <w:bookmarkEnd w:id="11"/>
    </w:p>
    <w:p w14:paraId="548D3666">
      <w:pPr>
        <w:pageBreakBefore w:val="0"/>
        <w:widowControl/>
        <w:kinsoku/>
        <w:wordWrap/>
        <w:overflowPunct/>
        <w:topLinePunct w:val="0"/>
        <w:bidi w:val="0"/>
        <w:spacing w:line="480" w:lineRule="exact"/>
        <w:jc w:val="center"/>
        <w:rPr>
          <w:rFonts w:hint="eastAsia" w:ascii="Times New Roman" w:hAnsi="Times New Roman" w:eastAsia="黑体"/>
          <w:color w:val="auto"/>
          <w:sz w:val="48"/>
          <w:szCs w:val="48"/>
          <w:highlight w:val="none"/>
        </w:rPr>
        <w:sectPr>
          <w:footerReference r:id="rId8" w:type="first"/>
          <w:footerReference r:id="rId7" w:type="default"/>
          <w:pgSz w:w="11906" w:h="16838"/>
          <w:pgMar w:top="1440" w:right="1800" w:bottom="1440" w:left="1800" w:header="851" w:footer="992" w:gutter="0"/>
          <w:pgNumType w:fmt="decimal" w:start="1"/>
          <w:cols w:space="425" w:num="1"/>
          <w:titlePg/>
          <w:docGrid w:type="lines" w:linePitch="312" w:charSpace="0"/>
        </w:sectPr>
      </w:pPr>
    </w:p>
    <w:p w14:paraId="0F11E825">
      <w:pPr>
        <w:pageBreakBefore w:val="0"/>
        <w:widowControl/>
        <w:kinsoku/>
        <w:wordWrap/>
        <w:overflowPunct/>
        <w:topLinePunct w:val="0"/>
        <w:bidi w:val="0"/>
        <w:spacing w:line="480" w:lineRule="exact"/>
        <w:jc w:val="center"/>
        <w:rPr>
          <w:rFonts w:ascii="Times New Roman" w:hAnsi="Times New Roman" w:eastAsia="黑体"/>
          <w:color w:val="auto"/>
          <w:sz w:val="48"/>
          <w:szCs w:val="48"/>
          <w:highlight w:val="none"/>
        </w:rPr>
      </w:pPr>
      <w:r>
        <w:rPr>
          <w:rFonts w:hint="eastAsia" w:ascii="Times New Roman" w:hAnsi="Times New Roman" w:eastAsia="黑体"/>
          <w:color w:val="auto"/>
          <w:sz w:val="48"/>
          <w:szCs w:val="48"/>
          <w:highlight w:val="none"/>
        </w:rPr>
        <w:t>目录</w:t>
      </w:r>
    </w:p>
    <w:p w14:paraId="476EAB42">
      <w:pPr>
        <w:pageBreakBefore w:val="0"/>
        <w:widowControl/>
        <w:kinsoku/>
        <w:wordWrap/>
        <w:overflowPunct/>
        <w:topLinePunct w:val="0"/>
        <w:bidi w:val="0"/>
        <w:spacing w:line="480" w:lineRule="exact"/>
        <w:jc w:val="center"/>
        <w:rPr>
          <w:rFonts w:ascii="Times New Roman" w:hAnsi="Times New Roman" w:eastAsia="黑体" w:cstheme="minorBidi"/>
          <w:color w:val="auto"/>
          <w:sz w:val="28"/>
          <w:szCs w:val="28"/>
          <w:highlight w:val="none"/>
        </w:rPr>
      </w:pPr>
    </w:p>
    <w:p w14:paraId="0944581B">
      <w:pPr>
        <w:pStyle w:val="10"/>
        <w:pageBreakBefore w:val="0"/>
        <w:kinsoku/>
        <w:wordWrap/>
        <w:overflowPunct/>
        <w:topLinePunct w:val="0"/>
        <w:bidi w:val="0"/>
        <w:spacing w:before="0" w:line="480" w:lineRule="exact"/>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25</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9</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17</w:t>
      </w:r>
      <w:r>
        <w:rPr>
          <w:rFonts w:hint="eastAsia" w:ascii="Times New Roman" w:hAnsi="Times New Roman" w:eastAsia="仿宋_GB2312" w:cs="仿宋_GB2312"/>
          <w:color w:val="auto"/>
          <w:sz w:val="32"/>
          <w:szCs w:val="32"/>
          <w:highlight w:val="none"/>
        </w:rPr>
        <w:t>日</w:t>
      </w:r>
    </w:p>
    <w:p w14:paraId="067727E3">
      <w:pPr>
        <w:pageBreakBefore w:val="0"/>
        <w:kinsoku/>
        <w:wordWrap/>
        <w:overflowPunct/>
        <w:topLinePunct w:val="0"/>
        <w:bidi w:val="0"/>
        <w:spacing w:line="480" w:lineRule="exact"/>
        <w:rPr>
          <w:rFonts w:ascii="Times New Roman" w:hAnsi="Times New Roman"/>
          <w:color w:val="auto"/>
          <w:highlight w:val="none"/>
        </w:rPr>
      </w:pPr>
    </w:p>
    <w:p w14:paraId="41D0BCC7">
      <w:pPr>
        <w:pStyle w:val="10"/>
        <w:keepNext w:val="0"/>
        <w:keepLines w:val="0"/>
        <w:pageBreakBefore w:val="0"/>
        <w:kinsoku/>
        <w:wordWrap/>
        <w:overflowPunct/>
        <w:topLinePunct w:val="0"/>
        <w:autoSpaceDE/>
        <w:autoSpaceDN/>
        <w:bidi w:val="0"/>
        <w:adjustRightInd w:val="0"/>
        <w:snapToGrid w:val="0"/>
        <w:spacing w:before="0" w:line="480" w:lineRule="exact"/>
        <w:jc w:val="left"/>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第一部分 部门概况</w:t>
      </w:r>
    </w:p>
    <w:p w14:paraId="593547F4">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一、</w:t>
      </w:r>
      <w:r>
        <w:rPr>
          <w:rFonts w:hint="eastAsia" w:ascii="Times New Roman" w:hAnsi="Times New Roman" w:eastAsia="仿宋_GB2312" w:cs="仿宋_GB2312"/>
          <w:color w:val="auto"/>
          <w:sz w:val="32"/>
          <w:szCs w:val="32"/>
          <w:highlight w:val="none"/>
          <w:lang w:eastAsia="zh-CN"/>
        </w:rPr>
        <w:t>部门职责</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1</w:t>
      </w:r>
    </w:p>
    <w:p w14:paraId="5FA38A59">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二、机构设置</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1</w:t>
      </w:r>
    </w:p>
    <w:p w14:paraId="05FA7517">
      <w:pPr>
        <w:pStyle w:val="10"/>
        <w:keepNext w:val="0"/>
        <w:keepLines w:val="0"/>
        <w:pageBreakBefore w:val="0"/>
        <w:kinsoku/>
        <w:wordWrap/>
        <w:overflowPunct/>
        <w:topLinePunct w:val="0"/>
        <w:autoSpaceDE/>
        <w:autoSpaceDN/>
        <w:bidi w:val="0"/>
        <w:adjustRightInd w:val="0"/>
        <w:snapToGrid w:val="0"/>
        <w:spacing w:before="0" w:line="480" w:lineRule="exact"/>
        <w:jc w:val="left"/>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第二部分</w:t>
      </w:r>
      <w:r>
        <w:rPr>
          <w:rFonts w:hint="eastAsia" w:ascii="Times New Roman" w:hAnsi="Times New Roman" w:eastAsia="黑体" w:cs="黑体"/>
          <w:color w:val="auto"/>
          <w:sz w:val="32"/>
          <w:szCs w:val="32"/>
          <w:highlight w:val="none"/>
          <w:lang w:val="en-US" w:eastAsia="zh-CN"/>
        </w:rPr>
        <w:t xml:space="preserve"> 2024年度</w:t>
      </w:r>
      <w:r>
        <w:rPr>
          <w:rFonts w:hint="eastAsia" w:ascii="Times New Roman" w:hAnsi="Times New Roman" w:eastAsia="黑体" w:cs="黑体"/>
          <w:color w:val="auto"/>
          <w:sz w:val="32"/>
          <w:szCs w:val="32"/>
          <w:highlight w:val="none"/>
        </w:rPr>
        <w:t>部门决算情况说明</w:t>
      </w:r>
    </w:p>
    <w:p w14:paraId="2DBFE7E9">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一、收入支出决算总体情况说明</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2</w:t>
      </w:r>
    </w:p>
    <w:p w14:paraId="44BE8F79">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二、收入决算情况说明</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2</w:t>
      </w:r>
    </w:p>
    <w:p w14:paraId="091F7D09">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三、支出决算情况说明</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3</w:t>
      </w:r>
    </w:p>
    <w:p w14:paraId="59E180C1">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四、财政拨款收入支出决算总体情况说明</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3</w:t>
      </w:r>
    </w:p>
    <w:p w14:paraId="08D7EE99">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五、一般公共预算财政拨款支出决算情况说明</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3</w:t>
      </w:r>
    </w:p>
    <w:p w14:paraId="7D97B169">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六、一般公共预算财政拨款基本支出决算情况说明</w:t>
      </w:r>
      <w:r>
        <w:rPr>
          <w:rFonts w:hint="eastAsia" w:eastAsia="仿宋_GB2312" w:cs="仿宋_GB2312"/>
          <w:color w:val="auto"/>
          <w:sz w:val="32"/>
          <w:szCs w:val="32"/>
          <w:highlight w:val="none"/>
          <w:lang w:val="en-US" w:eastAsia="zh-CN"/>
        </w:rPr>
        <w:t xml:space="preserve">   5</w:t>
      </w:r>
    </w:p>
    <w:p w14:paraId="26976748">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七、财政拨款</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三公”经费支出决算情况说明</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6 </w:t>
      </w:r>
    </w:p>
    <w:p w14:paraId="759A7DE8">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八、政府性基金预算支出决算情况说明</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7</w:t>
      </w:r>
    </w:p>
    <w:p w14:paraId="328B0006">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九、</w:t>
      </w:r>
      <w:r>
        <w:rPr>
          <w:rFonts w:hint="eastAsia" w:ascii="Times New Roman" w:hAnsi="Times New Roman" w:eastAsia="仿宋_GB2312" w:cs="仿宋_GB2312"/>
          <w:color w:val="auto"/>
          <w:sz w:val="32"/>
          <w:szCs w:val="32"/>
          <w:highlight w:val="none"/>
          <w:lang w:eastAsia="zh-CN"/>
        </w:rPr>
        <w:t>国</w:t>
      </w:r>
      <w:r>
        <w:rPr>
          <w:rFonts w:hint="eastAsia" w:ascii="Times New Roman" w:hAnsi="Times New Roman" w:eastAsia="仿宋_GB2312" w:cs="仿宋_GB2312"/>
          <w:color w:val="auto"/>
          <w:sz w:val="32"/>
          <w:szCs w:val="32"/>
          <w:highlight w:val="none"/>
        </w:rPr>
        <w:t>有资本经营预算支出决算情况说明</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7</w:t>
      </w:r>
    </w:p>
    <w:p w14:paraId="2D6D49FD">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lang w:eastAsia="zh-CN"/>
        </w:rPr>
        <w:t>十</w:t>
      </w:r>
      <w:r>
        <w:rPr>
          <w:rFonts w:hint="eastAsia" w:ascii="Times New Roman" w:hAnsi="Times New Roman" w:eastAsia="仿宋_GB2312" w:cs="仿宋_GB2312"/>
          <w:color w:val="auto"/>
          <w:sz w:val="32"/>
          <w:szCs w:val="32"/>
          <w:highlight w:val="none"/>
        </w:rPr>
        <w:t>、其他重要事项的情况说明</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7</w:t>
      </w:r>
    </w:p>
    <w:p w14:paraId="7C1FFBEF">
      <w:pPr>
        <w:pStyle w:val="10"/>
        <w:keepNext w:val="0"/>
        <w:keepLines w:val="0"/>
        <w:pageBreakBefore w:val="0"/>
        <w:kinsoku/>
        <w:wordWrap/>
        <w:overflowPunct/>
        <w:topLinePunct w:val="0"/>
        <w:autoSpaceDE/>
        <w:autoSpaceDN/>
        <w:bidi w:val="0"/>
        <w:adjustRightInd w:val="0"/>
        <w:snapToGrid w:val="0"/>
        <w:spacing w:before="0" w:line="48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第三部分 名词解释</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9</w:t>
      </w:r>
    </w:p>
    <w:p w14:paraId="4229763F">
      <w:pPr>
        <w:pStyle w:val="10"/>
        <w:keepNext w:val="0"/>
        <w:keepLines w:val="0"/>
        <w:pageBreakBefore w:val="0"/>
        <w:kinsoku/>
        <w:wordWrap/>
        <w:overflowPunct/>
        <w:topLinePunct w:val="0"/>
        <w:autoSpaceDE/>
        <w:autoSpaceDN/>
        <w:bidi w:val="0"/>
        <w:adjustRightInd w:val="0"/>
        <w:snapToGrid w:val="0"/>
        <w:spacing w:before="0" w:line="48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第四部分 附件</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 xml:space="preserve">  </w:t>
      </w:r>
      <w:bookmarkStart w:id="70" w:name="_GoBack"/>
      <w:bookmarkEnd w:id="70"/>
      <w:r>
        <w:rPr>
          <w:rFonts w:hint="eastAsia" w:eastAsia="仿宋_GB2312" w:cs="仿宋_GB2312"/>
          <w:color w:val="auto"/>
          <w:sz w:val="32"/>
          <w:szCs w:val="32"/>
          <w:highlight w:val="none"/>
          <w:lang w:val="en-US" w:eastAsia="zh-CN"/>
        </w:rPr>
        <w:t>11</w:t>
      </w:r>
    </w:p>
    <w:p w14:paraId="0529AC2E">
      <w:pPr>
        <w:pStyle w:val="10"/>
        <w:keepNext w:val="0"/>
        <w:keepLines w:val="0"/>
        <w:pageBreakBefore w:val="0"/>
        <w:kinsoku/>
        <w:wordWrap/>
        <w:overflowPunct/>
        <w:topLinePunct w:val="0"/>
        <w:autoSpaceDE/>
        <w:autoSpaceDN/>
        <w:bidi w:val="0"/>
        <w:adjustRightInd w:val="0"/>
        <w:snapToGrid w:val="0"/>
        <w:spacing w:before="0" w:line="480" w:lineRule="exact"/>
        <w:jc w:val="left"/>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第五部分 附表</w:t>
      </w:r>
    </w:p>
    <w:p w14:paraId="66506819">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一、收入支出决算总表</w:t>
      </w:r>
    </w:p>
    <w:p w14:paraId="1EA83189">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二、收入决算表</w:t>
      </w:r>
    </w:p>
    <w:p w14:paraId="1926C793">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三、支出决算表</w:t>
      </w:r>
    </w:p>
    <w:p w14:paraId="02C9C484">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四、财政拨款收入支出决算总表</w:t>
      </w:r>
    </w:p>
    <w:p w14:paraId="0EAF1FB1">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五、财政拨款支出决算明细表</w:t>
      </w:r>
    </w:p>
    <w:p w14:paraId="2E4563F2">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p>
    <w:p w14:paraId="14BB0F23">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七、一般公共预算财政拨款支出决算明细表</w:t>
      </w:r>
    </w:p>
    <w:p w14:paraId="07B29918">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八、一般公共预算财政拨款基本支出决算</w:t>
      </w:r>
      <w:r>
        <w:rPr>
          <w:rFonts w:hint="eastAsia" w:ascii="Times New Roman" w:hAnsi="Times New Roman" w:eastAsia="仿宋_GB2312" w:cs="仿宋_GB2312"/>
          <w:color w:val="auto"/>
          <w:sz w:val="32"/>
          <w:szCs w:val="32"/>
          <w:highlight w:val="none"/>
          <w:lang w:eastAsia="zh-CN"/>
        </w:rPr>
        <w:t>明细</w:t>
      </w:r>
      <w:r>
        <w:rPr>
          <w:rFonts w:hint="eastAsia" w:ascii="Times New Roman" w:hAnsi="Times New Roman" w:eastAsia="仿宋_GB2312" w:cs="仿宋_GB2312"/>
          <w:color w:val="auto"/>
          <w:sz w:val="32"/>
          <w:szCs w:val="32"/>
          <w:highlight w:val="none"/>
        </w:rPr>
        <w:t>表</w:t>
      </w:r>
    </w:p>
    <w:p w14:paraId="500ECAE0">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sectPr>
          <w:footerReference r:id="rId10" w:type="first"/>
          <w:footerReference r:id="rId9" w:type="default"/>
          <w:pgSz w:w="11906" w:h="16838"/>
          <w:pgMar w:top="1440" w:right="1800" w:bottom="1440" w:left="1800" w:header="851" w:footer="992" w:gutter="0"/>
          <w:pgNumType w:fmt="decimal" w:start="1"/>
          <w:cols w:space="425" w:num="1"/>
          <w:titlePg/>
          <w:docGrid w:type="lines" w:linePitch="312" w:charSpace="0"/>
        </w:sectPr>
      </w:pPr>
    </w:p>
    <w:p w14:paraId="4A93A270">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九、一般公共预算财政拨款项目支出决算表</w:t>
      </w:r>
    </w:p>
    <w:p w14:paraId="66DF5148">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十、政府性基金预算财政拨款收入支出决算表</w:t>
      </w:r>
    </w:p>
    <w:p w14:paraId="4417773E">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十一、国有资本经营预算财政拨款收入支出决算表</w:t>
      </w:r>
    </w:p>
    <w:p w14:paraId="41757475">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十二、</w:t>
      </w:r>
      <w:r>
        <w:rPr>
          <w:rFonts w:hint="eastAsia" w:ascii="Times New Roman" w:hAnsi="Times New Roman" w:eastAsia="仿宋_GB2312" w:cs="仿宋_GB2312"/>
          <w:color w:val="auto"/>
          <w:sz w:val="32"/>
          <w:szCs w:val="32"/>
          <w:highlight w:val="none"/>
          <w:lang w:val="en-US" w:eastAsia="zh-CN"/>
        </w:rPr>
        <w:t>国有资本经营预算财政拨款支出决算表</w:t>
      </w:r>
    </w:p>
    <w:p w14:paraId="51907E14">
      <w:pPr>
        <w:pStyle w:val="11"/>
        <w:keepNext w:val="0"/>
        <w:keepLines w:val="0"/>
        <w:pageBreakBefore w:val="0"/>
        <w:widowControl w:val="0"/>
        <w:kinsoku/>
        <w:wordWrap/>
        <w:overflowPunct/>
        <w:topLinePunct w:val="0"/>
        <w:autoSpaceDE/>
        <w:autoSpaceDN/>
        <w:bidi w:val="0"/>
        <w:adjustRightInd w:val="0"/>
        <w:snapToGrid w:val="0"/>
        <w:spacing w:line="48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十三、财政拨款“三公”经费支出决算表</w:t>
      </w:r>
    </w:p>
    <w:p w14:paraId="0EA6E617">
      <w:pPr>
        <w:pStyle w:val="2"/>
        <w:pageBreakBefore w:val="0"/>
        <w:kinsoku/>
        <w:wordWrap/>
        <w:overflowPunct/>
        <w:topLinePunct w:val="0"/>
        <w:bidi w:val="0"/>
        <w:spacing w:before="0" w:after="0" w:line="480" w:lineRule="exact"/>
        <w:jc w:val="center"/>
        <w:rPr>
          <w:rFonts w:hint="eastAsia" w:ascii="Times New Roman" w:hAnsi="Times New Roman" w:eastAsia="方正小标宋简体" w:cs="方正小标宋简体"/>
          <w:b w:val="0"/>
          <w:color w:val="auto"/>
          <w:highlight w:val="none"/>
        </w:rPr>
        <w:sectPr>
          <w:footerReference r:id="rId12" w:type="first"/>
          <w:footerReference r:id="rId11" w:type="default"/>
          <w:pgSz w:w="11906" w:h="16838"/>
          <w:pgMar w:top="1440" w:right="1800" w:bottom="1440" w:left="1800" w:header="851" w:footer="992" w:gutter="0"/>
          <w:pgNumType w:fmt="decimal" w:start="1"/>
          <w:cols w:space="425" w:num="1"/>
          <w:titlePg/>
          <w:docGrid w:type="lines" w:linePitch="312" w:charSpace="0"/>
        </w:sectPr>
      </w:pPr>
      <w:bookmarkStart w:id="12" w:name="_Toc15396599"/>
      <w:bookmarkStart w:id="13" w:name="_Toc15377196"/>
    </w:p>
    <w:p w14:paraId="676F9C12">
      <w:pPr>
        <w:pStyle w:val="2"/>
        <w:pageBreakBefore w:val="0"/>
        <w:kinsoku/>
        <w:wordWrap/>
        <w:overflowPunct/>
        <w:topLinePunct w:val="0"/>
        <w:bidi w:val="0"/>
        <w:spacing w:before="0" w:after="0" w:line="480" w:lineRule="exact"/>
        <w:jc w:val="center"/>
        <w:rPr>
          <w:rFonts w:ascii="Times New Roman" w:hAnsi="Times New Roman" w:eastAsia="黑体"/>
          <w:color w:val="auto"/>
          <w:sz w:val="32"/>
          <w:szCs w:val="32"/>
          <w:highlight w:val="none"/>
        </w:rPr>
      </w:pPr>
      <w:r>
        <w:rPr>
          <w:rFonts w:hint="eastAsia" w:ascii="Times New Roman" w:hAnsi="Times New Roman" w:eastAsia="方正小标宋简体" w:cs="方正小标宋简体"/>
          <w:b w:val="0"/>
          <w:color w:val="auto"/>
          <w:highlight w:val="none"/>
        </w:rPr>
        <w:t>第一部分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Style w:val="17"/>
          <w:rFonts w:hint="eastAsia" w:ascii="Times New Roman" w:hAnsi="Times New Roman" w:eastAsia="方正小标宋简体" w:cs="方正小标宋简体"/>
          <w:b w:val="0"/>
          <w:bCs w:val="0"/>
          <w:color w:val="auto"/>
          <w:highlight w:val="none"/>
        </w:rPr>
        <w:t>部门概况</w:t>
      </w:r>
      <w:bookmarkEnd w:id="12"/>
      <w:bookmarkEnd w:id="13"/>
    </w:p>
    <w:p w14:paraId="6789774C">
      <w:pPr>
        <w:pStyle w:val="3"/>
        <w:pageBreakBefore w:val="0"/>
        <w:numPr>
          <w:ilvl w:val="0"/>
          <w:numId w:val="1"/>
        </w:numPr>
        <w:kinsoku/>
        <w:wordWrap/>
        <w:overflowPunct/>
        <w:topLinePunct w:val="0"/>
        <w:autoSpaceDE/>
        <w:autoSpaceDN/>
        <w:bidi w:val="0"/>
        <w:adjustRightInd/>
        <w:spacing w:before="0" w:after="0" w:line="480" w:lineRule="exact"/>
        <w:textAlignment w:val="auto"/>
        <w:rPr>
          <w:rFonts w:hint="eastAsia" w:ascii="Times New Roman" w:hAnsi="Times New Roman" w:eastAsia="黑体"/>
          <w:b w:val="0"/>
          <w:color w:val="auto"/>
          <w:highlight w:val="none"/>
          <w:lang w:eastAsia="zh-CN"/>
        </w:rPr>
      </w:pPr>
      <w:r>
        <w:rPr>
          <w:rFonts w:hint="eastAsia" w:ascii="Times New Roman" w:hAnsi="Times New Roman" w:eastAsia="黑体"/>
          <w:b w:val="0"/>
          <w:color w:val="auto"/>
          <w:highlight w:val="none"/>
          <w:lang w:eastAsia="zh-CN"/>
        </w:rPr>
        <w:t>部门职责</w:t>
      </w:r>
    </w:p>
    <w:p w14:paraId="2456797E">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lang w:val="zh-CN" w:eastAsia="zh-CN"/>
        </w:rPr>
      </w:pPr>
      <w:bookmarkStart w:id="14" w:name="_Toc15396601"/>
      <w:bookmarkStart w:id="15" w:name="_Toc15377200"/>
      <w:r>
        <w:rPr>
          <w:rFonts w:hint="eastAsia" w:ascii="仿宋_GB2312" w:hAnsi="仿宋_GB2312" w:eastAsia="仿宋_GB2312" w:cs="仿宋_GB2312"/>
          <w:color w:val="auto"/>
          <w:sz w:val="32"/>
          <w:szCs w:val="32"/>
          <w:lang w:val="zh-CN" w:eastAsia="zh-CN"/>
        </w:rPr>
        <w:t>达古冰川管理局于2003年12月正式成立组建，为州人民政府直属公益一类事业单位，与四川三打古自然保护区管理局，实行“一套人马，两块牌子”“州县共管、以州为主”的管理体制。景区保护面积623平方公里，旅游区规划面积210平方公里。主要职责为：</w:t>
      </w:r>
    </w:p>
    <w:p w14:paraId="6F99CF39">
      <w:pPr>
        <w:keepNext w:val="0"/>
        <w:keepLines w:val="0"/>
        <w:pageBreakBefore w:val="0"/>
        <w:widowControl/>
        <w:suppressLineNumbers w:val="0"/>
        <w:kinsoku/>
        <w:wordWrap/>
        <w:overflowPunct/>
        <w:topLinePunct w:val="0"/>
        <w:autoSpaceDE/>
        <w:autoSpaceDN/>
        <w:bidi w:val="0"/>
        <w:adjustRightInd/>
        <w:spacing w:line="48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1、宣传贯彻国家有关自然保护区、风景名胜区管理和国家地质公园的法律、法规和方针政策。</w:t>
      </w:r>
    </w:p>
    <w:p w14:paraId="485988BD">
      <w:pPr>
        <w:keepNext w:val="0"/>
        <w:keepLines w:val="0"/>
        <w:pageBreakBefore w:val="0"/>
        <w:widowControl/>
        <w:suppressLineNumbers w:val="0"/>
        <w:kinsoku/>
        <w:wordWrap/>
        <w:overflowPunct/>
        <w:topLinePunct w:val="0"/>
        <w:autoSpaceDE/>
        <w:autoSpaceDN/>
        <w:bidi w:val="0"/>
        <w:adjustRightInd/>
        <w:spacing w:line="48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2、制定自然保护区的各项规章制度，组织实施自然保护区建设保护规则，统一管理自然保护区。</w:t>
      </w:r>
    </w:p>
    <w:p w14:paraId="793BF42A">
      <w:pPr>
        <w:keepNext w:val="0"/>
        <w:keepLines w:val="0"/>
        <w:pageBreakBefore w:val="0"/>
        <w:widowControl/>
        <w:suppressLineNumbers w:val="0"/>
        <w:kinsoku/>
        <w:wordWrap/>
        <w:overflowPunct/>
        <w:topLinePunct w:val="0"/>
        <w:autoSpaceDE/>
        <w:autoSpaceDN/>
        <w:bidi w:val="0"/>
        <w:adjustRightInd/>
        <w:spacing w:line="48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3、调查自然资源并建立档案，组织环境监测，定期报告保护区环境质量状况。</w:t>
      </w:r>
    </w:p>
    <w:p w14:paraId="4E1EEBFC">
      <w:pPr>
        <w:keepNext w:val="0"/>
        <w:keepLines w:val="0"/>
        <w:pageBreakBefore w:val="0"/>
        <w:widowControl/>
        <w:suppressLineNumbers w:val="0"/>
        <w:kinsoku/>
        <w:wordWrap/>
        <w:overflowPunct/>
        <w:topLinePunct w:val="0"/>
        <w:autoSpaceDE/>
        <w:autoSpaceDN/>
        <w:bidi w:val="0"/>
        <w:adjustRightInd/>
        <w:spacing w:line="48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4、负责自然保护区界标的设置和管理。</w:t>
      </w:r>
    </w:p>
    <w:p w14:paraId="3B6D3505">
      <w:pPr>
        <w:keepNext w:val="0"/>
        <w:keepLines w:val="0"/>
        <w:pageBreakBefore w:val="0"/>
        <w:widowControl/>
        <w:suppressLineNumbers w:val="0"/>
        <w:kinsoku/>
        <w:wordWrap/>
        <w:overflowPunct/>
        <w:topLinePunct w:val="0"/>
        <w:autoSpaceDE/>
        <w:autoSpaceDN/>
        <w:bidi w:val="0"/>
        <w:adjustRightInd/>
        <w:spacing w:line="48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5、保护风景名胜区资源和生态环境，维护风景名胜区的自然风貌和人文景观，开发利用风景名胜区旅游资源。</w:t>
      </w:r>
    </w:p>
    <w:p w14:paraId="6C8FCEDF">
      <w:pPr>
        <w:keepNext w:val="0"/>
        <w:keepLines w:val="0"/>
        <w:pageBreakBefore w:val="0"/>
        <w:widowControl/>
        <w:suppressLineNumbers w:val="0"/>
        <w:kinsoku/>
        <w:wordWrap/>
        <w:overflowPunct/>
        <w:topLinePunct w:val="0"/>
        <w:autoSpaceDE/>
        <w:autoSpaceDN/>
        <w:bidi w:val="0"/>
        <w:adjustRightInd/>
        <w:spacing w:line="48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6、协助编制总体规划和详细规划并组织实施，按照总体规划对风景名胜区的建设项目进行审核和监督检查。</w:t>
      </w:r>
    </w:p>
    <w:p w14:paraId="65810FBA">
      <w:pPr>
        <w:keepNext w:val="0"/>
        <w:keepLines w:val="0"/>
        <w:pageBreakBefore w:val="0"/>
        <w:widowControl/>
        <w:suppressLineNumbers w:val="0"/>
        <w:kinsoku/>
        <w:wordWrap/>
        <w:overflowPunct/>
        <w:topLinePunct w:val="0"/>
        <w:autoSpaceDE/>
        <w:autoSpaceDN/>
        <w:bidi w:val="0"/>
        <w:adjustRightInd/>
        <w:spacing w:line="48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7、负责风景名胜区基础设施和公共设施的建设和管理。</w:t>
      </w:r>
    </w:p>
    <w:p w14:paraId="79A4253B">
      <w:pPr>
        <w:keepNext w:val="0"/>
        <w:keepLines w:val="0"/>
        <w:pageBreakBefore w:val="0"/>
        <w:widowControl/>
        <w:suppressLineNumbers w:val="0"/>
        <w:kinsoku/>
        <w:wordWrap/>
        <w:overflowPunct/>
        <w:topLinePunct w:val="0"/>
        <w:autoSpaceDE/>
        <w:autoSpaceDN/>
        <w:bidi w:val="0"/>
        <w:adjustRightInd/>
        <w:spacing w:line="48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8、制定风景名胜区管理制度，负责风景名胜区的游人安全、环境卫生和服务业管理工作。</w:t>
      </w:r>
    </w:p>
    <w:p w14:paraId="0171DC81">
      <w:pPr>
        <w:keepNext w:val="0"/>
        <w:keepLines w:val="0"/>
        <w:pageBreakBefore w:val="0"/>
        <w:widowControl/>
        <w:suppressLineNumbers w:val="0"/>
        <w:kinsoku/>
        <w:wordWrap/>
        <w:overflowPunct/>
        <w:topLinePunct w:val="0"/>
        <w:autoSpaceDE/>
        <w:autoSpaceDN/>
        <w:bidi w:val="0"/>
        <w:adjustRightInd/>
        <w:spacing w:line="48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9、根据《自然保护区管理条例》和《风景名胜区管理条例》的规定，协助行政执法部门对保护区和景区内的森林资源、林地、国土资源、水资源依法管理。</w:t>
      </w:r>
    </w:p>
    <w:p w14:paraId="207B116D">
      <w:pPr>
        <w:keepNext w:val="0"/>
        <w:keepLines w:val="0"/>
        <w:pageBreakBefore w:val="0"/>
        <w:widowControl/>
        <w:suppressLineNumbers w:val="0"/>
        <w:kinsoku/>
        <w:wordWrap/>
        <w:overflowPunct/>
        <w:topLinePunct w:val="0"/>
        <w:autoSpaceDE/>
        <w:autoSpaceDN/>
        <w:bidi w:val="0"/>
        <w:adjustRightInd/>
        <w:spacing w:line="480" w:lineRule="exact"/>
        <w:ind w:firstLine="640" w:firstLineChars="200"/>
        <w:jc w:val="left"/>
        <w:textAlignment w:val="auto"/>
      </w:pPr>
      <w:r>
        <w:rPr>
          <w:rFonts w:hint="eastAsia" w:ascii="仿宋_GB2312" w:hAnsi="仿宋_GB2312" w:eastAsia="仿宋_GB2312" w:cs="仿宋_GB2312"/>
          <w:color w:val="auto"/>
          <w:sz w:val="32"/>
          <w:szCs w:val="32"/>
          <w:lang w:val="zh-CN" w:eastAsia="zh-CN"/>
        </w:rPr>
        <w:t>10、制定地质公园管理制度，负责地质公园的规划、建设、游览安全、环境保护和管理工作。</w:t>
      </w:r>
    </w:p>
    <w:p w14:paraId="0D158C2B">
      <w:pPr>
        <w:pStyle w:val="3"/>
        <w:pageBreakBefore w:val="0"/>
        <w:kinsoku/>
        <w:wordWrap/>
        <w:overflowPunct/>
        <w:topLinePunct w:val="0"/>
        <w:autoSpaceDE/>
        <w:autoSpaceDN/>
        <w:bidi w:val="0"/>
        <w:adjustRightInd/>
        <w:spacing w:before="0" w:after="0" w:line="480" w:lineRule="exact"/>
        <w:textAlignment w:val="auto"/>
        <w:rPr>
          <w:rStyle w:val="18"/>
          <w:rFonts w:ascii="Times New Roman" w:hAnsi="Times New Roman"/>
          <w:b w:val="0"/>
          <w:bCs w:val="0"/>
          <w:color w:val="auto"/>
          <w:highlight w:val="none"/>
        </w:rPr>
      </w:pPr>
      <w:r>
        <w:rPr>
          <w:rFonts w:hint="eastAsia" w:ascii="Times New Roman" w:hAnsi="Times New Roman" w:eastAsia="黑体"/>
          <w:b w:val="0"/>
          <w:color w:val="auto"/>
          <w:highlight w:val="none"/>
        </w:rPr>
        <w:t>二、机</w:t>
      </w:r>
      <w:r>
        <w:rPr>
          <w:rStyle w:val="18"/>
          <w:rFonts w:hint="eastAsia" w:ascii="Times New Roman" w:hAnsi="Times New Roman" w:eastAsia="黑体"/>
          <w:b w:val="0"/>
          <w:bCs w:val="0"/>
          <w:color w:val="auto"/>
          <w:highlight w:val="none"/>
        </w:rPr>
        <w:t>构设置</w:t>
      </w:r>
      <w:bookmarkEnd w:id="14"/>
      <w:bookmarkEnd w:id="15"/>
    </w:p>
    <w:p w14:paraId="4B64F3FB">
      <w:pPr>
        <w:pageBreakBefore w:val="0"/>
        <w:kinsoku/>
        <w:wordWrap/>
        <w:overflowPunct/>
        <w:topLinePunct w:val="0"/>
        <w:autoSpaceDE/>
        <w:autoSpaceDN/>
        <w:bidi w:val="0"/>
        <w:adjustRightInd/>
        <w:spacing w:line="480" w:lineRule="exact"/>
        <w:ind w:firstLine="800" w:firstLineChars="250"/>
        <w:textAlignment w:val="auto"/>
        <w:rPr>
          <w:rFonts w:hint="eastAsia" w:ascii="Times New Roman" w:hAnsi="Times New Roman"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达古冰川风景名胜区管理局</w:t>
      </w:r>
      <w:r>
        <w:rPr>
          <w:rFonts w:hint="eastAsia" w:ascii="仿宋_GB2312" w:hAnsi="仿宋_GB2312" w:eastAsia="仿宋_GB2312" w:cs="仿宋_GB2312"/>
          <w:color w:val="auto"/>
          <w:sz w:val="32"/>
          <w:szCs w:val="32"/>
          <w:highlight w:val="none"/>
          <w:lang w:val="en-US" w:eastAsia="zh-CN"/>
        </w:rPr>
        <w:t>属一级预算单位，</w:t>
      </w:r>
      <w:r>
        <w:rPr>
          <w:rFonts w:hint="eastAsia" w:ascii="Times New Roman" w:hAnsi="Times New Roman" w:eastAsia="仿宋_GB2312" w:cs="仿宋_GB2312"/>
          <w:color w:val="auto"/>
          <w:sz w:val="32"/>
          <w:szCs w:val="32"/>
          <w:highlight w:val="none"/>
        </w:rPr>
        <w:t>下属二级</w:t>
      </w:r>
      <w:r>
        <w:rPr>
          <w:rFonts w:hint="eastAsia" w:ascii="Times New Roman" w:hAnsi="Times New Roman" w:eastAsia="仿宋_GB2312" w:cs="仿宋_GB2312"/>
          <w:color w:val="auto"/>
          <w:sz w:val="32"/>
          <w:szCs w:val="32"/>
          <w:highlight w:val="none"/>
          <w:lang w:eastAsia="zh-CN"/>
        </w:rPr>
        <w:t>预算</w:t>
      </w:r>
      <w:r>
        <w:rPr>
          <w:rFonts w:hint="eastAsia" w:ascii="Times New Roman" w:hAnsi="Times New Roman" w:eastAsia="仿宋_GB2312" w:cs="仿宋_GB2312"/>
          <w:color w:val="auto"/>
          <w:sz w:val="32"/>
          <w:szCs w:val="32"/>
          <w:highlight w:val="none"/>
        </w:rPr>
        <w:t>单位</w:t>
      </w:r>
      <w:r>
        <w:rPr>
          <w:rFonts w:hint="eastAsia" w:ascii="仿宋_GB2312" w:hAnsi="仿宋_GB2312"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个，其中行政单位</w:t>
      </w:r>
      <w:r>
        <w:rPr>
          <w:rFonts w:hint="eastAsia"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个，参照公务员法管理的事业单位</w:t>
      </w:r>
      <w:r>
        <w:rPr>
          <w:rFonts w:hint="eastAsia" w:eastAsia="仿宋_GB2312" w:cs="仿宋_GB2312"/>
          <w:bCs/>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个，其他事业单位</w:t>
      </w:r>
      <w:r>
        <w:rPr>
          <w:rFonts w:hint="eastAsia"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w:t>
      </w:r>
    </w:p>
    <w:p w14:paraId="05E4A976">
      <w:pPr>
        <w:keepNext w:val="0"/>
        <w:keepLines w:val="0"/>
        <w:pageBreakBefore w:val="0"/>
        <w:widowControl w:val="0"/>
        <w:kinsoku/>
        <w:wordWrap/>
        <w:overflowPunct/>
        <w:topLinePunct w:val="0"/>
        <w:autoSpaceDE/>
        <w:autoSpaceDN/>
        <w:bidi w:val="0"/>
        <w:adjustRightInd/>
        <w:snapToGrid w:val="0"/>
        <w:spacing w:afterAutospacing="0" w:line="480" w:lineRule="exact"/>
        <w:ind w:firstLine="640" w:firstLineChars="200"/>
        <w:textAlignment w:val="auto"/>
        <w:rPr>
          <w:rFonts w:hint="default" w:ascii="仿宋_GB2312" w:hAnsi="Times New Roman" w:eastAsia="仿宋_GB2312" w:cs="Times New Roman"/>
          <w:color w:val="auto"/>
          <w:kern w:val="2"/>
          <w:sz w:val="32"/>
          <w:szCs w:val="32"/>
          <w:lang w:val="en-US" w:eastAsia="zh-CN" w:bidi="ar-SA"/>
        </w:rPr>
      </w:pPr>
      <w:r>
        <w:rPr>
          <w:rFonts w:hint="default" w:ascii="仿宋_GB2312" w:hAnsi="Times New Roman" w:eastAsia="仿宋_GB2312" w:cs="Times New Roman"/>
          <w:color w:val="auto"/>
          <w:kern w:val="2"/>
          <w:sz w:val="32"/>
          <w:szCs w:val="32"/>
          <w:lang w:val="en-US" w:eastAsia="zh-CN" w:bidi="ar-SA"/>
        </w:rPr>
        <w:t>本单位本年度年末实有人数为</w:t>
      </w:r>
      <w:r>
        <w:rPr>
          <w:rFonts w:hint="eastAsia" w:ascii="仿宋_GB2312" w:eastAsia="仿宋_GB2312" w:cs="Times New Roman"/>
          <w:color w:val="auto"/>
          <w:kern w:val="2"/>
          <w:sz w:val="32"/>
          <w:szCs w:val="32"/>
          <w:lang w:val="en-US" w:eastAsia="zh-CN" w:bidi="ar-SA"/>
        </w:rPr>
        <w:t>78</w:t>
      </w:r>
      <w:r>
        <w:rPr>
          <w:rFonts w:hint="default" w:ascii="仿宋_GB2312" w:hAnsi="Times New Roman" w:eastAsia="仿宋_GB2312" w:cs="Times New Roman"/>
          <w:color w:val="auto"/>
          <w:kern w:val="2"/>
          <w:sz w:val="32"/>
          <w:szCs w:val="32"/>
          <w:lang w:val="en-US" w:eastAsia="zh-CN" w:bidi="ar-SA"/>
        </w:rPr>
        <w:t>人，比上年</w:t>
      </w:r>
      <w:r>
        <w:rPr>
          <w:rFonts w:hint="eastAsia" w:ascii="仿宋_GB2312" w:eastAsia="仿宋_GB2312" w:cs="Times New Roman"/>
          <w:color w:val="auto"/>
          <w:kern w:val="2"/>
          <w:sz w:val="32"/>
          <w:szCs w:val="32"/>
          <w:lang w:val="en-US" w:eastAsia="zh-CN" w:bidi="ar-SA"/>
        </w:rPr>
        <w:t>减少2</w:t>
      </w:r>
      <w:r>
        <w:rPr>
          <w:rFonts w:hint="default" w:ascii="仿宋_GB2312" w:hAnsi="Times New Roman" w:eastAsia="仿宋_GB2312" w:cs="Times New Roman"/>
          <w:color w:val="auto"/>
          <w:kern w:val="2"/>
          <w:sz w:val="32"/>
          <w:szCs w:val="32"/>
          <w:lang w:val="en-US" w:eastAsia="zh-CN" w:bidi="ar-SA"/>
        </w:rPr>
        <w:t>人；年末实有离退休人数为</w:t>
      </w:r>
      <w:r>
        <w:rPr>
          <w:rFonts w:hint="eastAsia" w:ascii="仿宋_GB2312" w:eastAsia="仿宋_GB2312" w:cs="Times New Roman"/>
          <w:color w:val="auto"/>
          <w:kern w:val="2"/>
          <w:sz w:val="32"/>
          <w:szCs w:val="32"/>
          <w:lang w:val="en-US" w:eastAsia="zh-CN" w:bidi="ar-SA"/>
        </w:rPr>
        <w:t>14</w:t>
      </w:r>
      <w:r>
        <w:rPr>
          <w:rFonts w:hint="default" w:ascii="仿宋_GB2312" w:hAnsi="Times New Roman" w:eastAsia="仿宋_GB2312" w:cs="Times New Roman"/>
          <w:color w:val="auto"/>
          <w:kern w:val="2"/>
          <w:sz w:val="32"/>
          <w:szCs w:val="32"/>
          <w:lang w:val="en-US" w:eastAsia="zh-CN" w:bidi="ar-SA"/>
        </w:rPr>
        <w:t>人，比上年增加</w:t>
      </w:r>
      <w:r>
        <w:rPr>
          <w:rFonts w:hint="eastAsia" w:ascii="仿宋_GB2312" w:hAnsi="Times New Roman" w:eastAsia="仿宋_GB2312" w:cs="Times New Roman"/>
          <w:color w:val="auto"/>
          <w:kern w:val="2"/>
          <w:sz w:val="32"/>
          <w:szCs w:val="32"/>
          <w:lang w:val="en-US" w:eastAsia="zh-CN" w:bidi="ar-SA"/>
        </w:rPr>
        <w:t>2</w:t>
      </w:r>
      <w:r>
        <w:rPr>
          <w:rFonts w:hint="default" w:ascii="仿宋_GB2312" w:hAnsi="Times New Roman" w:eastAsia="仿宋_GB2312" w:cs="Times New Roman"/>
          <w:color w:val="auto"/>
          <w:kern w:val="2"/>
          <w:sz w:val="32"/>
          <w:szCs w:val="32"/>
          <w:lang w:val="en-US" w:eastAsia="zh-CN" w:bidi="ar-SA"/>
        </w:rPr>
        <w:t>人；变动情况及原因为</w:t>
      </w:r>
      <w:r>
        <w:rPr>
          <w:rFonts w:hint="eastAsia" w:ascii="仿宋_GB2312" w:hAnsi="Times New Roman" w:eastAsia="仿宋_GB2312" w:cs="Times New Roman"/>
          <w:color w:val="auto"/>
          <w:kern w:val="2"/>
          <w:sz w:val="32"/>
          <w:szCs w:val="32"/>
          <w:lang w:val="en-US" w:eastAsia="zh-CN" w:bidi="ar-SA"/>
        </w:rPr>
        <w:t>202</w:t>
      </w:r>
      <w:r>
        <w:rPr>
          <w:rFonts w:hint="eastAsia" w:ascii="仿宋_GB2312" w:eastAsia="仿宋_GB2312" w:cs="Times New Roman"/>
          <w:color w:val="auto"/>
          <w:kern w:val="2"/>
          <w:sz w:val="32"/>
          <w:szCs w:val="32"/>
          <w:lang w:val="en-US" w:eastAsia="zh-CN" w:bidi="ar-SA"/>
        </w:rPr>
        <w:t>4年在职职工退休</w:t>
      </w:r>
      <w:r>
        <w:rPr>
          <w:rFonts w:hint="default" w:ascii="仿宋_GB2312" w:hAnsi="Times New Roman" w:eastAsia="仿宋_GB2312" w:cs="Times New Roman"/>
          <w:color w:val="auto"/>
          <w:kern w:val="2"/>
          <w:sz w:val="32"/>
          <w:szCs w:val="32"/>
          <w:lang w:val="en-US" w:eastAsia="zh-CN" w:bidi="ar-SA"/>
        </w:rPr>
        <w:t>。年末实有其他人数为</w:t>
      </w:r>
      <w:r>
        <w:rPr>
          <w:rFonts w:hint="eastAsia" w:ascii="仿宋_GB2312" w:eastAsia="仿宋_GB2312" w:cs="Times New Roman"/>
          <w:color w:val="auto"/>
          <w:kern w:val="2"/>
          <w:sz w:val="32"/>
          <w:szCs w:val="32"/>
          <w:lang w:val="en-US" w:eastAsia="zh-CN" w:bidi="ar-SA"/>
        </w:rPr>
        <w:t>68</w:t>
      </w:r>
      <w:r>
        <w:rPr>
          <w:rFonts w:hint="default" w:ascii="仿宋_GB2312" w:hAnsi="Times New Roman" w:eastAsia="仿宋_GB2312" w:cs="Times New Roman"/>
          <w:color w:val="auto"/>
          <w:kern w:val="2"/>
          <w:sz w:val="32"/>
          <w:szCs w:val="32"/>
          <w:lang w:val="en-US" w:eastAsia="zh-CN" w:bidi="ar-SA"/>
        </w:rPr>
        <w:t>人，比上年</w:t>
      </w:r>
      <w:r>
        <w:rPr>
          <w:rFonts w:hint="eastAsia" w:ascii="仿宋_GB2312" w:eastAsia="仿宋_GB2312" w:cs="Times New Roman"/>
          <w:color w:val="auto"/>
          <w:kern w:val="2"/>
          <w:sz w:val="32"/>
          <w:szCs w:val="32"/>
          <w:lang w:val="en-US" w:eastAsia="zh-CN" w:bidi="ar-SA"/>
        </w:rPr>
        <w:t>减少10</w:t>
      </w:r>
      <w:r>
        <w:rPr>
          <w:rFonts w:hint="default" w:ascii="仿宋_GB2312" w:hAnsi="Times New Roman" w:eastAsia="仿宋_GB2312" w:cs="Times New Roman"/>
          <w:color w:val="auto"/>
          <w:kern w:val="2"/>
          <w:sz w:val="32"/>
          <w:szCs w:val="32"/>
          <w:lang w:val="en-US" w:eastAsia="zh-CN" w:bidi="ar-SA"/>
        </w:rPr>
        <w:t>人；变动原因为</w:t>
      </w:r>
      <w:r>
        <w:rPr>
          <w:rFonts w:hint="eastAsia" w:ascii="仿宋_GB2312" w:eastAsia="仿宋_GB2312" w:cs="Times New Roman"/>
          <w:color w:val="auto"/>
          <w:kern w:val="2"/>
          <w:sz w:val="32"/>
          <w:szCs w:val="32"/>
          <w:lang w:val="en-US" w:eastAsia="zh-CN" w:bidi="ar-SA"/>
        </w:rPr>
        <w:t>清退超龄临聘人员</w:t>
      </w:r>
      <w:r>
        <w:rPr>
          <w:rFonts w:hint="eastAsia" w:ascii="仿宋_GB2312" w:hAnsi="Times New Roman" w:eastAsia="仿宋_GB2312" w:cs="Times New Roman"/>
          <w:color w:val="auto"/>
          <w:kern w:val="2"/>
          <w:sz w:val="32"/>
          <w:szCs w:val="32"/>
          <w:lang w:val="en-US" w:eastAsia="zh-CN" w:bidi="ar-SA"/>
        </w:rPr>
        <w:t>。</w:t>
      </w:r>
    </w:p>
    <w:p w14:paraId="6B60D7F2">
      <w:pPr>
        <w:pStyle w:val="2"/>
        <w:pageBreakBefore w:val="0"/>
        <w:kinsoku/>
        <w:wordWrap/>
        <w:overflowPunct/>
        <w:topLinePunct w:val="0"/>
        <w:bidi w:val="0"/>
        <w:spacing w:before="0" w:after="0" w:line="480" w:lineRule="exact"/>
        <w:jc w:val="center"/>
        <w:rPr>
          <w:rFonts w:ascii="Times New Roman" w:hAnsi="Times New Roman"/>
          <w:color w:val="auto"/>
          <w:highlight w:val="none"/>
        </w:rPr>
      </w:pPr>
      <w:bookmarkStart w:id="16" w:name="_Toc15396602"/>
      <w:bookmarkStart w:id="17" w:name="_Toc15377204"/>
      <w:r>
        <w:rPr>
          <w:rFonts w:hint="eastAsia" w:ascii="Times New Roman" w:hAnsi="Times New Roman" w:eastAsia="方正小标宋简体" w:cs="方正小标宋简体"/>
          <w:b w:val="0"/>
          <w:color w:val="auto"/>
          <w:highlight w:val="none"/>
        </w:rPr>
        <w:t>第二部分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Fonts w:hint="eastAsia" w:ascii="Times New Roman" w:hAnsi="Times New Roman" w:eastAsia="方正小标宋简体" w:cs="方正小标宋简体"/>
          <w:b w:val="0"/>
          <w:color w:val="auto"/>
          <w:highlight w:val="none"/>
          <w:lang w:val="en-US" w:eastAsia="zh-CN"/>
        </w:rPr>
        <w:t>2024年度</w:t>
      </w:r>
      <w:r>
        <w:rPr>
          <w:rFonts w:hint="eastAsia" w:ascii="Times New Roman" w:hAnsi="Times New Roman" w:eastAsia="方正小标宋简体" w:cs="方正小标宋简体"/>
          <w:b w:val="0"/>
          <w:color w:val="auto"/>
          <w:highlight w:val="none"/>
        </w:rPr>
        <w:t>部门决算情况说明</w:t>
      </w:r>
      <w:bookmarkEnd w:id="16"/>
      <w:bookmarkEnd w:id="17"/>
    </w:p>
    <w:p w14:paraId="151D8859">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outlineLvl w:val="1"/>
        <w:rPr>
          <w:rStyle w:val="18"/>
          <w:rFonts w:hint="eastAsia" w:ascii="Times New Roman" w:hAnsi="Times New Roman" w:eastAsia="黑体"/>
          <w:b w:val="0"/>
          <w:color w:val="auto"/>
          <w:highlight w:val="none"/>
        </w:rPr>
      </w:pPr>
      <w:bookmarkStart w:id="18" w:name="_Toc15377205"/>
      <w:bookmarkStart w:id="19" w:name="_Toc15396603"/>
      <w:r>
        <w:rPr>
          <w:rFonts w:hint="eastAsia" w:ascii="Times New Roman" w:hAnsi="Times New Roman" w:eastAsia="黑体"/>
          <w:color w:val="auto"/>
          <w:sz w:val="32"/>
          <w:szCs w:val="32"/>
          <w:highlight w:val="none"/>
          <w:lang w:eastAsia="zh-CN"/>
        </w:rPr>
        <w:t>一、</w:t>
      </w:r>
      <w:r>
        <w:rPr>
          <w:rFonts w:hint="eastAsia" w:ascii="Times New Roman" w:hAnsi="Times New Roman" w:eastAsia="黑体"/>
          <w:color w:val="auto"/>
          <w:sz w:val="32"/>
          <w:szCs w:val="32"/>
          <w:highlight w:val="none"/>
        </w:rPr>
        <w:t>收</w:t>
      </w:r>
      <w:r>
        <w:rPr>
          <w:rStyle w:val="18"/>
          <w:rFonts w:hint="eastAsia" w:ascii="Times New Roman" w:hAnsi="Times New Roman" w:eastAsia="黑体"/>
          <w:b w:val="0"/>
          <w:color w:val="auto"/>
          <w:highlight w:val="none"/>
        </w:rPr>
        <w:t>入支出决算总体情况说明</w:t>
      </w:r>
      <w:bookmarkEnd w:id="18"/>
      <w:bookmarkEnd w:id="19"/>
    </w:p>
    <w:p w14:paraId="687FDC5F">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outlineLvl w:val="1"/>
        <w:rPr>
          <w:rFonts w:hint="eastAsia"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eastAsia="zh-CN"/>
        </w:rPr>
        <w:t>2024年度收入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总计</w:t>
      </w:r>
      <w:r>
        <w:rPr>
          <w:rFonts w:hint="eastAsia" w:ascii="Times New Roman" w:hAnsi="Times New Roman" w:eastAsia="仿宋_GB2312" w:cs="仿宋_GB2312"/>
          <w:color w:val="auto"/>
          <w:sz w:val="32"/>
          <w:szCs w:val="32"/>
          <w:highlight w:val="none"/>
          <w:lang w:eastAsia="zh-CN"/>
        </w:rPr>
        <w:t>均为</w:t>
      </w:r>
      <w:r>
        <w:rPr>
          <w:rFonts w:hint="eastAsia" w:ascii="仿宋_GB2312" w:hAnsi="仿宋_GB2312" w:eastAsia="仿宋_GB2312" w:cs="仿宋_GB2312"/>
          <w:sz w:val="32"/>
          <w:szCs w:val="32"/>
        </w:rPr>
        <w:t>4128.99</w:t>
      </w:r>
      <w:r>
        <w:rPr>
          <w:rFonts w:hint="eastAsia" w:ascii="Times New Roman" w:hAnsi="Times New Roman" w:eastAsia="仿宋_GB2312" w:cs="仿宋_GB2312"/>
          <w:color w:val="auto"/>
          <w:sz w:val="32"/>
          <w:szCs w:val="32"/>
          <w:highlight w:val="none"/>
        </w:rPr>
        <w:t>万元。与</w:t>
      </w:r>
      <w:r>
        <w:rPr>
          <w:rFonts w:hint="eastAsia" w:ascii="Times New Roman" w:hAnsi="Times New Roman" w:eastAsia="仿宋_GB2312" w:cs="仿宋_GB2312"/>
          <w:color w:val="auto"/>
          <w:sz w:val="32"/>
          <w:szCs w:val="32"/>
          <w:highlight w:val="none"/>
          <w:lang w:eastAsia="zh-CN"/>
        </w:rPr>
        <w:t>202</w:t>
      </w:r>
      <w:r>
        <w:rPr>
          <w:rFonts w:hint="eastAsia" w:ascii="Times New Roman" w:hAnsi="Times New Roman" w:eastAsia="仿宋_GB2312" w:cs="仿宋_GB2312"/>
          <w:color w:val="auto"/>
          <w:sz w:val="32"/>
          <w:szCs w:val="32"/>
          <w:highlight w:val="none"/>
          <w:lang w:val="en-US" w:eastAsia="zh-CN"/>
        </w:rPr>
        <w:t>3</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eastAsia="zh-CN"/>
        </w:rPr>
        <w:t>度</w:t>
      </w:r>
      <w:r>
        <w:rPr>
          <w:rFonts w:hint="eastAsia" w:ascii="Times New Roman" w:hAnsi="Times New Roman" w:eastAsia="仿宋_GB2312" w:cs="仿宋_GB2312"/>
          <w:color w:val="auto"/>
          <w:sz w:val="32"/>
          <w:szCs w:val="32"/>
          <w:highlight w:val="none"/>
        </w:rPr>
        <w:t>相比，</w:t>
      </w:r>
      <w:r>
        <w:rPr>
          <w:rFonts w:hint="eastAsia" w:ascii="Times New Roman" w:hAnsi="Times New Roman" w:eastAsia="仿宋_GB2312" w:cs="仿宋_GB2312"/>
          <w:color w:val="auto"/>
          <w:sz w:val="32"/>
          <w:szCs w:val="32"/>
          <w:highlight w:val="none"/>
          <w:lang w:eastAsia="zh-CN"/>
        </w:rPr>
        <w:t>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总计各增加</w:t>
      </w:r>
      <w:r>
        <w:rPr>
          <w:rFonts w:hint="eastAsia" w:eastAsia="仿宋_GB2312" w:cs="仿宋_GB2312"/>
          <w:color w:val="auto"/>
          <w:sz w:val="32"/>
          <w:szCs w:val="32"/>
          <w:highlight w:val="none"/>
          <w:lang w:val="en-US" w:eastAsia="zh-CN"/>
        </w:rPr>
        <w:t>393.78</w:t>
      </w:r>
      <w:r>
        <w:rPr>
          <w:rFonts w:hint="eastAsia" w:ascii="Times New Roman" w:hAnsi="Times New Roman" w:eastAsia="仿宋_GB2312" w:cs="仿宋_GB2312"/>
          <w:color w:val="auto"/>
          <w:sz w:val="32"/>
          <w:szCs w:val="32"/>
          <w:highlight w:val="none"/>
        </w:rPr>
        <w:t>万元，增长</w:t>
      </w:r>
      <w:r>
        <w:rPr>
          <w:rFonts w:hint="eastAsia" w:eastAsia="仿宋_GB2312" w:cs="仿宋_GB2312"/>
          <w:color w:val="auto"/>
          <w:sz w:val="32"/>
          <w:szCs w:val="32"/>
          <w:highlight w:val="none"/>
          <w:lang w:val="en-US" w:eastAsia="zh-CN"/>
        </w:rPr>
        <w:t>10.54</w:t>
      </w:r>
      <w:r>
        <w:rPr>
          <w:rFonts w:hint="eastAsia" w:ascii="Times New Roman" w:hAnsi="Times New Roman" w:eastAsia="仿宋_GB2312" w:cs="仿宋_GB2312"/>
          <w:color w:val="auto"/>
          <w:sz w:val="32"/>
          <w:szCs w:val="32"/>
          <w:highlight w:val="none"/>
        </w:rPr>
        <w:t>%。主要变动原因是</w:t>
      </w:r>
      <w:r>
        <w:rPr>
          <w:rFonts w:hint="eastAsia" w:eastAsia="仿宋_GB2312" w:cs="仿宋_GB2312"/>
          <w:color w:val="auto"/>
          <w:sz w:val="32"/>
          <w:szCs w:val="32"/>
          <w:highlight w:val="none"/>
          <w:lang w:val="en-US" w:eastAsia="zh-CN"/>
        </w:rPr>
        <w:t>增加科研资金和营销宣传资金。</w:t>
      </w:r>
    </w:p>
    <w:p w14:paraId="22D3B61B">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1"/>
        <w:rPr>
          <w:rFonts w:hint="eastAsia" w:ascii="Times New Roman" w:hAnsi="Times New Roman" w:eastAsia="仿宋_GB2312" w:cs="仿宋_GB2312"/>
          <w:color w:val="auto"/>
          <w:sz w:val="32"/>
          <w:szCs w:val="32"/>
          <w:highlight w:val="none"/>
        </w:rPr>
      </w:pPr>
      <w:r>
        <w:drawing>
          <wp:anchor distT="0" distB="0" distL="114300" distR="114300" simplePos="0" relativeHeight="251659264" behindDoc="0" locked="0" layoutInCell="1" allowOverlap="1">
            <wp:simplePos x="0" y="0"/>
            <wp:positionH relativeFrom="column">
              <wp:posOffset>61595</wp:posOffset>
            </wp:positionH>
            <wp:positionV relativeFrom="paragraph">
              <wp:posOffset>168275</wp:posOffset>
            </wp:positionV>
            <wp:extent cx="4940300" cy="2096770"/>
            <wp:effectExtent l="4445" t="4445" r="8255" b="13335"/>
            <wp:wrapSquare wrapText="bothSides"/>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hint="eastAsia"/>
          <w:lang w:val="en-US" w:eastAsia="zh-CN"/>
        </w:rPr>
        <w:t xml:space="preserve">       </w:t>
      </w:r>
      <w:r>
        <w:rPr>
          <w:rFonts w:hint="eastAsia" w:ascii="Times New Roman" w:hAnsi="Times New Roman" w:eastAsia="仿宋_GB2312" w:cs="仿宋_GB2312"/>
          <w:color w:val="auto"/>
          <w:sz w:val="32"/>
          <w:szCs w:val="32"/>
          <w:highlight w:val="none"/>
        </w:rPr>
        <w:t>（图1：</w:t>
      </w:r>
      <w:r>
        <w:rPr>
          <w:rFonts w:hint="eastAsia" w:ascii="Times New Roman" w:hAnsi="Times New Roman" w:eastAsia="仿宋_GB2312" w:cs="仿宋_GB2312"/>
          <w:color w:val="auto"/>
          <w:sz w:val="32"/>
          <w:szCs w:val="32"/>
          <w:highlight w:val="none"/>
          <w:lang w:eastAsia="zh-CN"/>
        </w:rPr>
        <w:t>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决算总计变动情况图）</w:t>
      </w:r>
    </w:p>
    <w:p w14:paraId="4D486680">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outlineLvl w:val="1"/>
        <w:rPr>
          <w:rFonts w:hint="eastAsia" w:ascii="Times New Roman" w:hAnsi="Times New Roman" w:eastAsia="黑体"/>
          <w:color w:val="auto"/>
          <w:sz w:val="32"/>
          <w:szCs w:val="32"/>
          <w:highlight w:val="none"/>
          <w:lang w:eastAsia="zh-CN"/>
        </w:rPr>
      </w:pPr>
      <w:bookmarkStart w:id="20" w:name="_Toc15396604"/>
      <w:bookmarkStart w:id="21" w:name="_Toc15377206"/>
      <w:r>
        <w:rPr>
          <w:rFonts w:hint="eastAsia" w:ascii="Times New Roman" w:hAnsi="Times New Roman" w:eastAsia="黑体"/>
          <w:color w:val="auto"/>
          <w:sz w:val="32"/>
          <w:szCs w:val="32"/>
          <w:highlight w:val="none"/>
          <w:lang w:eastAsia="zh-CN"/>
        </w:rPr>
        <w:t>二、收入决算情况说明</w:t>
      </w:r>
      <w:bookmarkEnd w:id="20"/>
      <w:bookmarkEnd w:id="21"/>
    </w:p>
    <w:p w14:paraId="420D05CC">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2024年度本年收入合计</w:t>
      </w:r>
      <w:r>
        <w:rPr>
          <w:rFonts w:hint="eastAsia" w:ascii="仿宋_GB2312" w:hAnsi="仿宋_GB2312" w:eastAsia="仿宋_GB2312" w:cs="仿宋_GB2312"/>
          <w:sz w:val="32"/>
          <w:szCs w:val="32"/>
        </w:rPr>
        <w:t>4128.99万元，其中：一般公共预算财政拨款收入4039.95</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97.8</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color w:val="auto"/>
          <w:sz w:val="32"/>
          <w:szCs w:val="32"/>
          <w:highlight w:val="none"/>
          <w:lang w:eastAsia="zh-CN"/>
        </w:rPr>
        <w:t>%；其他收入</w:t>
      </w:r>
      <w:r>
        <w:rPr>
          <w:rFonts w:hint="eastAsia" w:ascii="仿宋_GB2312" w:hAnsi="仿宋_GB2312" w:eastAsia="仿宋_GB2312" w:cs="仿宋_GB2312"/>
          <w:sz w:val="32"/>
          <w:szCs w:val="32"/>
        </w:rPr>
        <w:t>89.04</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2.15</w:t>
      </w:r>
      <w:r>
        <w:rPr>
          <w:rFonts w:hint="eastAsia" w:ascii="仿宋_GB2312" w:hAnsi="仿宋_GB2312" w:eastAsia="仿宋_GB2312" w:cs="仿宋_GB2312"/>
          <w:color w:val="auto"/>
          <w:sz w:val="32"/>
          <w:szCs w:val="32"/>
          <w:highlight w:val="none"/>
          <w:lang w:eastAsia="zh-CN"/>
        </w:rPr>
        <w:t>%。</w:t>
      </w:r>
    </w:p>
    <w:p w14:paraId="069A2BE6">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20" w:firstLineChars="200"/>
        <w:jc w:val="left"/>
        <w:textAlignment w:val="auto"/>
        <w:outlineLvl w:val="1"/>
        <w:rPr>
          <w:rFonts w:hint="eastAsia" w:ascii="仿宋_GB2312" w:hAnsi="仿宋_GB2312" w:eastAsia="仿宋_GB2312" w:cs="仿宋_GB2312"/>
          <w:color w:val="auto"/>
          <w:sz w:val="32"/>
          <w:szCs w:val="32"/>
          <w:highlight w:val="none"/>
          <w:lang w:eastAsia="zh-CN"/>
        </w:rPr>
      </w:pPr>
      <w:r>
        <w:drawing>
          <wp:anchor distT="0" distB="0" distL="114300" distR="114300" simplePos="0" relativeHeight="251660288" behindDoc="1" locked="0" layoutInCell="1" allowOverlap="1">
            <wp:simplePos x="0" y="0"/>
            <wp:positionH relativeFrom="column">
              <wp:posOffset>471805</wp:posOffset>
            </wp:positionH>
            <wp:positionV relativeFrom="paragraph">
              <wp:posOffset>54610</wp:posOffset>
            </wp:positionV>
            <wp:extent cx="4006850" cy="1830070"/>
            <wp:effectExtent l="4445" t="4445" r="46355" b="70485"/>
            <wp:wrapTight wrapText="bothSides">
              <wp:wrapPolygon>
                <wp:start x="-24" y="-52"/>
                <wp:lineTo x="-24" y="21533"/>
                <wp:lineTo x="21542" y="21533"/>
                <wp:lineTo x="21542" y="-52"/>
                <wp:lineTo x="-24" y="-52"/>
              </wp:wrapPolygon>
            </wp:wrapTight>
            <wp:docPr id="7" name="图表 6" descr="7b0a202020202263686172745265734964223a20223230343732313936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14:paraId="7C7152B3">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2EA3E360">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62D37256">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1E3926DC">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05B207E2">
      <w:pPr>
        <w:pageBreakBefore w:val="0"/>
        <w:kinsoku/>
        <w:wordWrap/>
        <w:overflowPunct/>
        <w:topLinePunct w:val="0"/>
        <w:bidi w:val="0"/>
        <w:spacing w:line="480" w:lineRule="exact"/>
        <w:rPr>
          <w:rFonts w:hint="eastAsia" w:ascii="Times New Roman" w:hAnsi="Times New Roman" w:eastAsia="仿宋_GB2312" w:cs="仿宋_GB2312"/>
          <w:color w:val="auto"/>
          <w:sz w:val="32"/>
          <w:szCs w:val="32"/>
          <w:highlight w:val="none"/>
          <w:lang w:eastAsia="zh-CN"/>
        </w:rPr>
      </w:pPr>
    </w:p>
    <w:p w14:paraId="14064A87">
      <w:pPr>
        <w:pageBreakBefore w:val="0"/>
        <w:kinsoku/>
        <w:wordWrap/>
        <w:overflowPunct/>
        <w:topLinePunct w:val="0"/>
        <w:bidi w:val="0"/>
        <w:spacing w:line="480" w:lineRule="exact"/>
        <w:ind w:firstLine="1920" w:firstLineChars="60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（图2：收入决算结构图）</w:t>
      </w:r>
    </w:p>
    <w:p w14:paraId="16EEDAE5">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outlineLvl w:val="1"/>
        <w:rPr>
          <w:rStyle w:val="18"/>
          <w:rFonts w:hint="eastAsia" w:ascii="Times New Roman" w:hAnsi="Times New Roman" w:eastAsia="黑体"/>
          <w:b w:val="0"/>
          <w:color w:val="auto"/>
          <w:highlight w:val="none"/>
        </w:rPr>
      </w:pPr>
      <w:bookmarkStart w:id="22" w:name="_Toc15396605"/>
      <w:bookmarkStart w:id="23" w:name="_Toc15377207"/>
      <w:r>
        <w:rPr>
          <w:rFonts w:hint="eastAsia" w:ascii="Times New Roman" w:hAnsi="Times New Roman" w:eastAsia="黑体"/>
          <w:color w:val="auto"/>
          <w:sz w:val="32"/>
          <w:szCs w:val="32"/>
          <w:highlight w:val="none"/>
          <w:lang w:eastAsia="zh-CN"/>
        </w:rPr>
        <w:t>三、</w:t>
      </w:r>
      <w:r>
        <w:rPr>
          <w:rFonts w:hint="eastAsia" w:ascii="Times New Roman" w:hAnsi="Times New Roman" w:eastAsia="黑体"/>
          <w:color w:val="auto"/>
          <w:sz w:val="32"/>
          <w:szCs w:val="32"/>
          <w:highlight w:val="none"/>
        </w:rPr>
        <w:t>支</w:t>
      </w:r>
      <w:r>
        <w:rPr>
          <w:rStyle w:val="18"/>
          <w:rFonts w:hint="eastAsia" w:ascii="Times New Roman" w:hAnsi="Times New Roman" w:eastAsia="黑体"/>
          <w:b w:val="0"/>
          <w:color w:val="auto"/>
          <w:highlight w:val="none"/>
        </w:rPr>
        <w:t>出决算情况说明</w:t>
      </w:r>
      <w:bookmarkEnd w:id="22"/>
      <w:bookmarkEnd w:id="23"/>
    </w:p>
    <w:p w14:paraId="08047F8E">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2024年度本年支出合计</w:t>
      </w:r>
      <w:r>
        <w:rPr>
          <w:rFonts w:hint="eastAsia" w:ascii="仿宋_GB2312" w:hAnsi="仿宋_GB2312" w:eastAsia="仿宋_GB2312" w:cs="仿宋_GB2312"/>
          <w:sz w:val="32"/>
          <w:szCs w:val="32"/>
        </w:rPr>
        <w:t>4053.25</w:t>
      </w:r>
      <w:r>
        <w:rPr>
          <w:rFonts w:hint="eastAsia" w:ascii="仿宋_GB2312" w:hAnsi="仿宋_GB2312" w:eastAsia="仿宋_GB2312" w:cs="仿宋_GB2312"/>
          <w:color w:val="auto"/>
          <w:sz w:val="32"/>
          <w:szCs w:val="32"/>
          <w:highlight w:val="none"/>
          <w:lang w:eastAsia="zh-CN"/>
        </w:rPr>
        <w:t>万元，其中：基本支出</w:t>
      </w:r>
      <w:r>
        <w:rPr>
          <w:rFonts w:hint="eastAsia" w:ascii="仿宋_GB2312" w:hAnsi="仿宋_GB2312" w:eastAsia="仿宋_GB2312" w:cs="仿宋_GB2312"/>
          <w:sz w:val="32"/>
          <w:szCs w:val="32"/>
        </w:rPr>
        <w:t>2829.78</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69.8</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color w:val="auto"/>
          <w:sz w:val="32"/>
          <w:szCs w:val="32"/>
          <w:highlight w:val="none"/>
          <w:lang w:eastAsia="zh-CN"/>
        </w:rPr>
        <w:t>%；项目支出</w:t>
      </w:r>
      <w:r>
        <w:rPr>
          <w:rFonts w:hint="eastAsia" w:ascii="仿宋_GB2312" w:hAnsi="仿宋_GB2312" w:eastAsia="仿宋_GB2312" w:cs="仿宋_GB2312"/>
          <w:sz w:val="32"/>
          <w:szCs w:val="32"/>
        </w:rPr>
        <w:t>1223.47</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30.18</w:t>
      </w:r>
      <w:r>
        <w:rPr>
          <w:rFonts w:hint="eastAsia" w:ascii="仿宋_GB2312" w:hAnsi="仿宋_GB2312" w:eastAsia="仿宋_GB2312" w:cs="仿宋_GB2312"/>
          <w:color w:val="auto"/>
          <w:sz w:val="32"/>
          <w:szCs w:val="32"/>
          <w:highlight w:val="none"/>
          <w:lang w:eastAsia="zh-CN"/>
        </w:rPr>
        <w:t>%。</w:t>
      </w:r>
    </w:p>
    <w:p w14:paraId="4774607F">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2C649E22">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20" w:firstLineChars="200"/>
        <w:jc w:val="left"/>
        <w:textAlignment w:val="auto"/>
        <w:outlineLvl w:val="1"/>
        <w:rPr>
          <w:rFonts w:hint="eastAsia" w:ascii="仿宋_GB2312" w:hAnsi="仿宋_GB2312" w:eastAsia="仿宋_GB2312" w:cs="仿宋_GB2312"/>
          <w:color w:val="auto"/>
          <w:sz w:val="32"/>
          <w:szCs w:val="32"/>
          <w:highlight w:val="none"/>
          <w:lang w:eastAsia="zh-CN"/>
        </w:rPr>
      </w:pPr>
      <w:r>
        <w:drawing>
          <wp:anchor distT="0" distB="0" distL="114300" distR="114300" simplePos="0" relativeHeight="251661312" behindDoc="0" locked="0" layoutInCell="1" allowOverlap="1">
            <wp:simplePos x="0" y="0"/>
            <wp:positionH relativeFrom="column">
              <wp:posOffset>471170</wp:posOffset>
            </wp:positionH>
            <wp:positionV relativeFrom="paragraph">
              <wp:posOffset>4445</wp:posOffset>
            </wp:positionV>
            <wp:extent cx="4265295" cy="2086610"/>
            <wp:effectExtent l="5080" t="4445" r="15875" b="23495"/>
            <wp:wrapSquare wrapText="bothSides"/>
            <wp:docPr id="2" name="图表 1" descr="7b0a202020202263686172745265734964223a20223230343732313936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14:paraId="74C9A889">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3EDA1987">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3CE3A074">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20" w:firstLineChars="200"/>
        <w:jc w:val="left"/>
        <w:textAlignment w:val="auto"/>
        <w:outlineLvl w:val="1"/>
        <w:rPr>
          <w:rFonts w:hint="eastAsia"/>
          <w:lang w:eastAsia="zh-CN"/>
        </w:rPr>
      </w:pPr>
    </w:p>
    <w:p w14:paraId="1DEA7E38">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p>
    <w:p w14:paraId="1CB0B7CD">
      <w:pPr>
        <w:pageBreakBefore w:val="0"/>
        <w:kinsoku/>
        <w:wordWrap/>
        <w:overflowPunct/>
        <w:topLinePunct w:val="0"/>
        <w:bidi w:val="0"/>
        <w:spacing w:line="480" w:lineRule="exact"/>
        <w:ind w:firstLine="2080" w:firstLineChars="65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（图3：支出决算结构图）</w:t>
      </w:r>
    </w:p>
    <w:p w14:paraId="10366852">
      <w:pPr>
        <w:pageBreakBefore w:val="0"/>
        <w:kinsoku/>
        <w:wordWrap/>
        <w:overflowPunct/>
        <w:topLinePunct w:val="0"/>
        <w:bidi w:val="0"/>
        <w:spacing w:line="480" w:lineRule="exact"/>
        <w:ind w:firstLine="640" w:firstLineChars="200"/>
        <w:outlineLvl w:val="1"/>
        <w:rPr>
          <w:rStyle w:val="18"/>
          <w:rFonts w:ascii="Times New Roman" w:hAnsi="Times New Roman" w:eastAsia="黑体"/>
          <w:b w:val="0"/>
          <w:color w:val="auto"/>
          <w:highlight w:val="none"/>
        </w:rPr>
      </w:pPr>
      <w:bookmarkStart w:id="24" w:name="_Toc15396606"/>
      <w:bookmarkStart w:id="25" w:name="_Toc15377208"/>
      <w:r>
        <w:rPr>
          <w:rFonts w:hint="eastAsia" w:ascii="Times New Roman" w:hAnsi="Times New Roman" w:eastAsia="黑体"/>
          <w:color w:val="auto"/>
          <w:sz w:val="32"/>
          <w:szCs w:val="32"/>
          <w:highlight w:val="none"/>
        </w:rPr>
        <w:t>四、财</w:t>
      </w:r>
      <w:r>
        <w:rPr>
          <w:rStyle w:val="18"/>
          <w:rFonts w:hint="eastAsia" w:ascii="Times New Roman" w:hAnsi="Times New Roman" w:eastAsia="黑体"/>
          <w:b w:val="0"/>
          <w:color w:val="auto"/>
          <w:highlight w:val="none"/>
        </w:rPr>
        <w:t>政拨款收入支出决算总体情况说明</w:t>
      </w:r>
      <w:bookmarkEnd w:id="24"/>
      <w:bookmarkEnd w:id="25"/>
    </w:p>
    <w:p w14:paraId="05BBE7B9">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outlineLvl w:val="1"/>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2024年度财政拨款收入、支出总计均为</w:t>
      </w:r>
      <w:r>
        <w:rPr>
          <w:rFonts w:hint="eastAsia" w:ascii="仿宋_GB2312" w:hAnsi="仿宋_GB2312" w:eastAsia="仿宋_GB2312" w:cs="仿宋_GB2312"/>
          <w:sz w:val="32"/>
          <w:szCs w:val="32"/>
        </w:rPr>
        <w:t>4039.95</w:t>
      </w:r>
      <w:r>
        <w:rPr>
          <w:rFonts w:hint="eastAsia" w:ascii="Times New Roman" w:hAnsi="Times New Roman" w:eastAsia="仿宋_GB2312" w:cs="仿宋_GB2312"/>
          <w:color w:val="auto"/>
          <w:kern w:val="2"/>
          <w:sz w:val="32"/>
          <w:szCs w:val="32"/>
          <w:highlight w:val="none"/>
          <w:lang w:val="en-US" w:eastAsia="zh-CN" w:bidi="ar-SA"/>
        </w:rPr>
        <w:t>万元。与2023年度相比，财政拨款收入总计、支出总计各增加</w:t>
      </w:r>
      <w:r>
        <w:rPr>
          <w:rFonts w:hint="eastAsia" w:eastAsia="仿宋_GB2312" w:cs="仿宋_GB2312"/>
          <w:color w:val="auto"/>
          <w:kern w:val="2"/>
          <w:sz w:val="32"/>
          <w:szCs w:val="32"/>
          <w:highlight w:val="none"/>
          <w:lang w:val="en-US" w:eastAsia="zh-CN" w:bidi="ar-SA"/>
        </w:rPr>
        <w:t>304.74</w:t>
      </w:r>
      <w:r>
        <w:rPr>
          <w:rFonts w:hint="eastAsia" w:ascii="Times New Roman" w:hAnsi="Times New Roman" w:eastAsia="仿宋_GB2312" w:cs="仿宋_GB2312"/>
          <w:color w:val="auto"/>
          <w:kern w:val="2"/>
          <w:sz w:val="32"/>
          <w:szCs w:val="32"/>
          <w:highlight w:val="none"/>
          <w:lang w:val="en-US" w:eastAsia="zh-CN" w:bidi="ar-SA"/>
        </w:rPr>
        <w:t>万元，增长</w:t>
      </w:r>
      <w:r>
        <w:rPr>
          <w:rFonts w:hint="eastAsia" w:eastAsia="仿宋_GB2312" w:cs="仿宋_GB2312"/>
          <w:color w:val="auto"/>
          <w:kern w:val="2"/>
          <w:sz w:val="32"/>
          <w:szCs w:val="32"/>
          <w:highlight w:val="none"/>
          <w:lang w:val="en-US" w:eastAsia="zh-CN" w:bidi="ar-SA"/>
        </w:rPr>
        <w:t>8.16</w:t>
      </w:r>
      <w:r>
        <w:rPr>
          <w:rFonts w:hint="eastAsia" w:ascii="Times New Roman" w:hAnsi="Times New Roman" w:eastAsia="仿宋_GB2312" w:cs="仿宋_GB2312"/>
          <w:color w:val="auto"/>
          <w:kern w:val="2"/>
          <w:sz w:val="32"/>
          <w:szCs w:val="32"/>
          <w:highlight w:val="none"/>
          <w:lang w:val="en-US" w:eastAsia="zh-CN" w:bidi="ar-SA"/>
        </w:rPr>
        <w:t>%。主要变动原因是</w:t>
      </w:r>
      <w:r>
        <w:rPr>
          <w:rFonts w:hint="eastAsia" w:eastAsia="仿宋_GB2312" w:cs="仿宋_GB2312"/>
          <w:color w:val="auto"/>
          <w:sz w:val="32"/>
          <w:szCs w:val="32"/>
          <w:highlight w:val="none"/>
          <w:lang w:val="en-US" w:eastAsia="zh-CN"/>
        </w:rPr>
        <w:t>增加科研资金和营销宣传资金。</w:t>
      </w:r>
    </w:p>
    <w:p w14:paraId="7EFAE195">
      <w:pPr>
        <w:pageBreakBefore w:val="0"/>
        <w:kinsoku/>
        <w:wordWrap/>
        <w:overflowPunct/>
        <w:topLinePunct w:val="0"/>
        <w:bidi w:val="0"/>
        <w:spacing w:line="480" w:lineRule="exact"/>
      </w:pPr>
    </w:p>
    <w:p w14:paraId="7C5BC3B8">
      <w:pPr>
        <w:pageBreakBefore w:val="0"/>
        <w:kinsoku/>
        <w:wordWrap/>
        <w:overflowPunct/>
        <w:topLinePunct w:val="0"/>
        <w:bidi w:val="0"/>
        <w:spacing w:line="480" w:lineRule="exact"/>
      </w:pPr>
    </w:p>
    <w:p w14:paraId="5E8CC086">
      <w:pPr>
        <w:pageBreakBefore w:val="0"/>
        <w:kinsoku/>
        <w:wordWrap/>
        <w:overflowPunct/>
        <w:topLinePunct w:val="0"/>
        <w:bidi w:val="0"/>
        <w:spacing w:line="480" w:lineRule="exact"/>
      </w:pPr>
    </w:p>
    <w:p w14:paraId="4281E63A">
      <w:pPr>
        <w:pageBreakBefore w:val="0"/>
        <w:kinsoku/>
        <w:wordWrap/>
        <w:overflowPunct/>
        <w:topLinePunct w:val="0"/>
        <w:bidi w:val="0"/>
        <w:spacing w:line="480" w:lineRule="exact"/>
      </w:pPr>
    </w:p>
    <w:p w14:paraId="56C3D211">
      <w:pPr>
        <w:pageBreakBefore w:val="0"/>
        <w:kinsoku/>
        <w:wordWrap/>
        <w:overflowPunct/>
        <w:topLinePunct w:val="0"/>
        <w:bidi w:val="0"/>
        <w:spacing w:line="480" w:lineRule="exact"/>
      </w:pPr>
    </w:p>
    <w:p w14:paraId="5D2D03AF">
      <w:pPr>
        <w:pageBreakBefore w:val="0"/>
        <w:kinsoku/>
        <w:wordWrap/>
        <w:overflowPunct/>
        <w:topLinePunct w:val="0"/>
        <w:bidi w:val="0"/>
        <w:spacing w:line="480" w:lineRule="exact"/>
      </w:pPr>
    </w:p>
    <w:p w14:paraId="7B8A9676">
      <w:pPr>
        <w:pageBreakBefore w:val="0"/>
        <w:kinsoku/>
        <w:wordWrap/>
        <w:overflowPunct/>
        <w:topLinePunct w:val="0"/>
        <w:bidi w:val="0"/>
        <w:spacing w:line="480" w:lineRule="exact"/>
      </w:pPr>
    </w:p>
    <w:p w14:paraId="37714221">
      <w:pPr>
        <w:pageBreakBefore w:val="0"/>
        <w:kinsoku/>
        <w:wordWrap/>
        <w:overflowPunct/>
        <w:topLinePunct w:val="0"/>
        <w:bidi w:val="0"/>
        <w:spacing w:line="480" w:lineRule="exact"/>
        <w:rPr>
          <w:rFonts w:hint="eastAsia"/>
          <w:lang w:val="en-US" w:eastAsia="zh-CN"/>
        </w:rPr>
      </w:pPr>
      <w:r>
        <w:drawing>
          <wp:anchor distT="0" distB="0" distL="114300" distR="114300" simplePos="0" relativeHeight="251664384" behindDoc="0" locked="0" layoutInCell="1" allowOverlap="1">
            <wp:simplePos x="0" y="0"/>
            <wp:positionH relativeFrom="column">
              <wp:posOffset>4445</wp:posOffset>
            </wp:positionH>
            <wp:positionV relativeFrom="paragraph">
              <wp:posOffset>-1999615</wp:posOffset>
            </wp:positionV>
            <wp:extent cx="4683760" cy="2238375"/>
            <wp:effectExtent l="4445" t="4445" r="17145" b="5080"/>
            <wp:wrapSquare wrapText="bothSides"/>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p>
    <w:p w14:paraId="0FF112A3">
      <w:pPr>
        <w:pageBreakBefore w:val="0"/>
        <w:kinsoku/>
        <w:wordWrap/>
        <w:overflowPunct/>
        <w:topLinePunct w:val="0"/>
        <w:bidi w:val="0"/>
        <w:spacing w:line="48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（图4：财政拨款收、支决算总计变动情况）</w:t>
      </w:r>
    </w:p>
    <w:p w14:paraId="6704FAF5">
      <w:pPr>
        <w:pageBreakBefore w:val="0"/>
        <w:kinsoku/>
        <w:wordWrap/>
        <w:overflowPunct/>
        <w:topLinePunct w:val="0"/>
        <w:bidi w:val="0"/>
        <w:spacing w:line="480" w:lineRule="exact"/>
        <w:ind w:firstLine="640" w:firstLineChars="200"/>
        <w:outlineLvl w:val="1"/>
        <w:rPr>
          <w:rStyle w:val="18"/>
          <w:rFonts w:ascii="Times New Roman" w:hAnsi="Times New Roman" w:eastAsia="黑体"/>
          <w:b w:val="0"/>
          <w:color w:val="auto"/>
          <w:highlight w:val="none"/>
        </w:rPr>
      </w:pPr>
      <w:bookmarkStart w:id="26" w:name="_Toc15396607"/>
      <w:bookmarkStart w:id="27" w:name="_Toc15377209"/>
      <w:r>
        <w:rPr>
          <w:rFonts w:hint="eastAsia" w:ascii="Times New Roman" w:hAnsi="Times New Roman" w:eastAsia="黑体"/>
          <w:color w:val="auto"/>
          <w:sz w:val="32"/>
          <w:szCs w:val="32"/>
          <w:highlight w:val="none"/>
        </w:rPr>
        <w:t>五、</w:t>
      </w:r>
      <w:r>
        <w:rPr>
          <w:rFonts w:hint="eastAsia" w:ascii="Times New Roman" w:hAnsi="Times New Roman" w:eastAsia="黑体"/>
          <w:b/>
          <w:color w:val="auto"/>
          <w:sz w:val="32"/>
          <w:szCs w:val="32"/>
          <w:highlight w:val="none"/>
        </w:rPr>
        <w:t>一</w:t>
      </w:r>
      <w:r>
        <w:rPr>
          <w:rStyle w:val="18"/>
          <w:rFonts w:hint="eastAsia" w:ascii="Times New Roman" w:hAnsi="Times New Roman" w:eastAsia="黑体"/>
          <w:b w:val="0"/>
          <w:color w:val="auto"/>
          <w:highlight w:val="none"/>
        </w:rPr>
        <w:t>般公共预算财政拨款支出决算情况说明</w:t>
      </w:r>
      <w:bookmarkEnd w:id="26"/>
      <w:bookmarkEnd w:id="27"/>
    </w:p>
    <w:p w14:paraId="7B607571">
      <w:pPr>
        <w:pageBreakBefore w:val="0"/>
        <w:kinsoku/>
        <w:wordWrap/>
        <w:overflowPunct/>
        <w:topLinePunct w:val="0"/>
        <w:bidi w:val="0"/>
        <w:spacing w:line="480" w:lineRule="exact"/>
        <w:ind w:firstLine="643" w:firstLineChars="200"/>
        <w:outlineLvl w:val="2"/>
        <w:rPr>
          <w:rFonts w:hint="eastAsia" w:ascii="Times New Roman" w:hAnsi="Times New Roman" w:eastAsia="楷体_GB2312" w:cs="楷体_GB2312"/>
          <w:b/>
          <w:color w:val="auto"/>
          <w:sz w:val="32"/>
          <w:szCs w:val="32"/>
          <w:highlight w:val="none"/>
        </w:rPr>
      </w:pPr>
      <w:bookmarkStart w:id="28" w:name="_Toc15377210"/>
      <w:r>
        <w:rPr>
          <w:rFonts w:hint="eastAsia" w:ascii="Times New Roman" w:hAnsi="Times New Roman" w:eastAsia="楷体_GB2312" w:cs="楷体_GB2312"/>
          <w:b/>
          <w:color w:val="auto"/>
          <w:sz w:val="32"/>
          <w:szCs w:val="32"/>
          <w:highlight w:val="none"/>
        </w:rPr>
        <w:t>（一）一般公共预算财政拨款支出决算总体情况</w:t>
      </w:r>
      <w:bookmarkEnd w:id="28"/>
    </w:p>
    <w:p w14:paraId="1F4E7B57">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outlineLvl w:val="1"/>
        <w:rPr>
          <w:rFonts w:hint="eastAsia"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4039.95</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99.67</w:t>
      </w:r>
      <w:r>
        <w:rPr>
          <w:rFonts w:hint="eastAsia" w:ascii="仿宋_GB2312" w:hAnsi="仿宋_GB2312" w:eastAsia="仿宋_GB2312" w:cs="仿宋_GB2312"/>
          <w:color w:val="auto"/>
          <w:kern w:val="2"/>
          <w:sz w:val="32"/>
          <w:szCs w:val="32"/>
          <w:highlight w:val="none"/>
          <w:lang w:val="en-US" w:eastAsia="zh-CN" w:bidi="ar-SA"/>
        </w:rPr>
        <w:t>%。与2023年度相比，一般公共预算财政拨款支出增加304.74万元，增长8.16%。主要变动原因是</w:t>
      </w:r>
      <w:r>
        <w:rPr>
          <w:rFonts w:hint="eastAsia" w:eastAsia="仿宋_GB2312" w:cs="仿宋_GB2312"/>
          <w:color w:val="auto"/>
          <w:sz w:val="32"/>
          <w:szCs w:val="32"/>
          <w:highlight w:val="none"/>
          <w:lang w:val="en-US" w:eastAsia="zh-CN"/>
        </w:rPr>
        <w:t>增加科研资金和营销宣传资金。</w:t>
      </w:r>
    </w:p>
    <w:p w14:paraId="17093762">
      <w:pPr>
        <w:pStyle w:val="19"/>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20" w:firstLineChars="200"/>
        <w:textAlignment w:val="auto"/>
        <w:outlineLvl w:val="1"/>
        <w:rPr>
          <w:rFonts w:hint="eastAsia" w:ascii="Times New Roman" w:hAnsi="Times New Roman" w:eastAsia="仿宋_GB2312" w:cs="仿宋_GB2312"/>
          <w:color w:val="auto"/>
          <w:kern w:val="2"/>
          <w:sz w:val="32"/>
          <w:szCs w:val="32"/>
          <w:highlight w:val="none"/>
          <w:lang w:val="en-US" w:eastAsia="zh-CN" w:bidi="ar-SA"/>
        </w:rPr>
      </w:pPr>
      <w:r>
        <w:drawing>
          <wp:anchor distT="0" distB="0" distL="114300" distR="114300" simplePos="0" relativeHeight="251662336" behindDoc="0" locked="0" layoutInCell="1" allowOverlap="1">
            <wp:simplePos x="0" y="0"/>
            <wp:positionH relativeFrom="column">
              <wp:posOffset>242570</wp:posOffset>
            </wp:positionH>
            <wp:positionV relativeFrom="paragraph">
              <wp:posOffset>99695</wp:posOffset>
            </wp:positionV>
            <wp:extent cx="4711700" cy="2085975"/>
            <wp:effectExtent l="4445" t="4445" r="8255" b="5080"/>
            <wp:wrapSquare wrapText="bothSides"/>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r>
        <w:rPr>
          <w:rFonts w:hint="eastAsia" w:ascii="Times New Roman" w:hAnsi="Times New Roman" w:eastAsia="仿宋_GB2312" w:cs="仿宋_GB2312"/>
          <w:color w:val="auto"/>
          <w:kern w:val="2"/>
          <w:sz w:val="32"/>
          <w:szCs w:val="32"/>
          <w:highlight w:val="none"/>
          <w:lang w:val="en-US" w:eastAsia="zh-CN" w:bidi="ar-SA"/>
        </w:rPr>
        <w:t>（图5：一般公共预算财政拨款支出决算变动情况）</w:t>
      </w:r>
    </w:p>
    <w:p w14:paraId="0998A684">
      <w:pPr>
        <w:pageBreakBefore w:val="0"/>
        <w:kinsoku/>
        <w:wordWrap/>
        <w:overflowPunct/>
        <w:topLinePunct w:val="0"/>
        <w:bidi w:val="0"/>
        <w:spacing w:line="480" w:lineRule="exact"/>
        <w:ind w:firstLine="643" w:firstLineChars="200"/>
        <w:outlineLvl w:val="2"/>
        <w:rPr>
          <w:rFonts w:hint="eastAsia" w:ascii="Times New Roman" w:hAnsi="Times New Roman" w:eastAsia="楷体_GB2312" w:cs="楷体_GB2312"/>
          <w:b/>
          <w:color w:val="auto"/>
          <w:sz w:val="32"/>
          <w:szCs w:val="32"/>
          <w:highlight w:val="none"/>
        </w:rPr>
      </w:pPr>
      <w:bookmarkStart w:id="29" w:name="_Toc15377211"/>
      <w:r>
        <w:rPr>
          <w:rFonts w:hint="eastAsia" w:ascii="Times New Roman" w:hAnsi="Times New Roman" w:eastAsia="楷体_GB2312" w:cs="楷体_GB2312"/>
          <w:b/>
          <w:color w:val="auto"/>
          <w:sz w:val="32"/>
          <w:szCs w:val="32"/>
          <w:highlight w:val="none"/>
        </w:rPr>
        <w:t>（二）一般公共预算财政拨款支出决算结构情况</w:t>
      </w:r>
      <w:bookmarkEnd w:id="29"/>
    </w:p>
    <w:p w14:paraId="0179439B">
      <w:pPr>
        <w:pageBreakBefore w:val="0"/>
        <w:kinsoku/>
        <w:wordWrap/>
        <w:overflowPunct/>
        <w:topLinePunct w:val="0"/>
        <w:bidi w:val="0"/>
        <w:spacing w:line="48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4039.95</w:t>
      </w:r>
      <w:r>
        <w:rPr>
          <w:rFonts w:hint="eastAsia" w:ascii="仿宋_GB2312" w:hAnsi="仿宋_GB2312" w:eastAsia="仿宋_GB2312" w:cs="仿宋_GB2312"/>
          <w:color w:val="auto"/>
          <w:kern w:val="2"/>
          <w:sz w:val="32"/>
          <w:szCs w:val="32"/>
          <w:highlight w:val="none"/>
          <w:lang w:val="en-US" w:eastAsia="zh-CN" w:bidi="ar-SA"/>
        </w:rPr>
        <w:t>万元</w:t>
      </w:r>
      <w:r>
        <w:rPr>
          <w:rFonts w:hint="eastAsia" w:ascii="Times New Roman" w:hAnsi="Times New Roman" w:eastAsia="仿宋_GB2312" w:cs="仿宋_GB2312"/>
          <w:color w:val="auto"/>
          <w:kern w:val="2"/>
          <w:sz w:val="32"/>
          <w:szCs w:val="32"/>
          <w:highlight w:val="none"/>
          <w:lang w:val="en-US" w:eastAsia="zh-CN" w:bidi="ar-SA"/>
        </w:rPr>
        <w:t>，主要用于以下方面</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科学技术支出</w:t>
      </w:r>
      <w:r>
        <w:rPr>
          <w:rFonts w:hint="eastAsia" w:eastAsia="仿宋_GB2312" w:cs="仿宋_GB2312"/>
          <w:color w:val="auto"/>
          <w:kern w:val="2"/>
          <w:sz w:val="32"/>
          <w:szCs w:val="32"/>
          <w:highlight w:val="none"/>
          <w:lang w:val="en-US" w:eastAsia="zh-CN" w:bidi="ar-SA"/>
        </w:rPr>
        <w:t>50</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1.24</w:t>
      </w:r>
      <w:r>
        <w:rPr>
          <w:rFonts w:hint="eastAsia" w:ascii="Times New Roman" w:hAnsi="Times New Roman" w:eastAsia="仿宋_GB2312" w:cs="仿宋_GB2312"/>
          <w:color w:val="auto"/>
          <w:kern w:val="2"/>
          <w:sz w:val="32"/>
          <w:szCs w:val="32"/>
          <w:highlight w:val="none"/>
          <w:lang w:val="en-US" w:eastAsia="zh-CN" w:bidi="ar-SA"/>
        </w:rPr>
        <w:t>%；文化旅游体育与传媒支出</w:t>
      </w:r>
      <w:r>
        <w:rPr>
          <w:rFonts w:hint="eastAsia" w:eastAsia="仿宋_GB2312" w:cs="仿宋_GB2312"/>
          <w:color w:val="auto"/>
          <w:kern w:val="2"/>
          <w:sz w:val="32"/>
          <w:szCs w:val="32"/>
          <w:highlight w:val="none"/>
          <w:lang w:val="en-US" w:eastAsia="zh-CN" w:bidi="ar-SA"/>
        </w:rPr>
        <w:t>3299.63</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81.68</w:t>
      </w:r>
      <w:r>
        <w:rPr>
          <w:rFonts w:hint="eastAsia" w:ascii="Times New Roman" w:hAnsi="Times New Roman" w:eastAsia="仿宋_GB2312" w:cs="仿宋_GB2312"/>
          <w:color w:val="auto"/>
          <w:kern w:val="2"/>
          <w:sz w:val="32"/>
          <w:szCs w:val="32"/>
          <w:highlight w:val="none"/>
          <w:lang w:val="en-US" w:eastAsia="zh-CN" w:bidi="ar-SA"/>
        </w:rPr>
        <w:t>%；社会保障和就业支出</w:t>
      </w:r>
      <w:r>
        <w:rPr>
          <w:rFonts w:hint="eastAsia" w:eastAsia="仿宋_GB2312" w:cs="仿宋_GB2312"/>
          <w:color w:val="auto"/>
          <w:kern w:val="2"/>
          <w:sz w:val="32"/>
          <w:szCs w:val="32"/>
          <w:highlight w:val="none"/>
          <w:lang w:val="en-US" w:eastAsia="zh-CN" w:bidi="ar-SA"/>
        </w:rPr>
        <w:t>266.63</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6.60</w:t>
      </w:r>
      <w:r>
        <w:rPr>
          <w:rFonts w:hint="eastAsia" w:ascii="Times New Roman" w:hAnsi="Times New Roman" w:eastAsia="仿宋_GB2312" w:cs="仿宋_GB2312"/>
          <w:color w:val="auto"/>
          <w:kern w:val="2"/>
          <w:sz w:val="32"/>
          <w:szCs w:val="32"/>
          <w:highlight w:val="none"/>
          <w:lang w:val="en-US" w:eastAsia="zh-CN" w:bidi="ar-SA"/>
        </w:rPr>
        <w:t>%；卫生健康支出</w:t>
      </w:r>
      <w:r>
        <w:rPr>
          <w:rFonts w:hint="eastAsia" w:eastAsia="仿宋_GB2312" w:cs="仿宋_GB2312"/>
          <w:color w:val="auto"/>
          <w:kern w:val="2"/>
          <w:sz w:val="32"/>
          <w:szCs w:val="32"/>
          <w:highlight w:val="none"/>
          <w:lang w:val="en-US" w:eastAsia="zh-CN" w:bidi="ar-SA"/>
        </w:rPr>
        <w:t>113.89</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2.82</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节能环保支出149.52万元，占3.70%；</w:t>
      </w:r>
      <w:r>
        <w:rPr>
          <w:rFonts w:hint="eastAsia" w:ascii="Times New Roman" w:hAnsi="Times New Roman" w:eastAsia="仿宋_GB2312" w:cs="仿宋_GB2312"/>
          <w:color w:val="auto"/>
          <w:kern w:val="2"/>
          <w:sz w:val="32"/>
          <w:szCs w:val="32"/>
          <w:highlight w:val="none"/>
          <w:lang w:val="en-US" w:eastAsia="zh-CN" w:bidi="ar-SA"/>
        </w:rPr>
        <w:t>住房保障支出</w:t>
      </w:r>
      <w:r>
        <w:rPr>
          <w:rFonts w:hint="eastAsia" w:eastAsia="仿宋_GB2312" w:cs="仿宋_GB2312"/>
          <w:color w:val="auto"/>
          <w:kern w:val="2"/>
          <w:sz w:val="32"/>
          <w:szCs w:val="32"/>
          <w:highlight w:val="none"/>
          <w:lang w:val="en-US" w:eastAsia="zh-CN" w:bidi="ar-SA"/>
        </w:rPr>
        <w:t>160.29</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3.96</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50050081">
      <w:pPr>
        <w:pageBreakBefore w:val="0"/>
        <w:kinsoku/>
        <w:wordWrap/>
        <w:overflowPunct/>
        <w:topLinePunct w:val="0"/>
        <w:bidi w:val="0"/>
        <w:spacing w:line="480" w:lineRule="exact"/>
        <w:ind w:firstLine="640"/>
        <w:rPr>
          <w:rFonts w:hint="eastAsia" w:eastAsia="仿宋_GB2312" w:cs="仿宋_GB2312"/>
          <w:color w:val="auto"/>
          <w:kern w:val="2"/>
          <w:sz w:val="32"/>
          <w:szCs w:val="32"/>
          <w:highlight w:val="none"/>
          <w:lang w:val="en-US" w:eastAsia="zh-CN" w:bidi="ar-SA"/>
        </w:rPr>
      </w:pPr>
      <w:r>
        <w:drawing>
          <wp:anchor distT="0" distB="0" distL="114300" distR="114300" simplePos="0" relativeHeight="251663360" behindDoc="0" locked="0" layoutInCell="1" allowOverlap="1">
            <wp:simplePos x="0" y="0"/>
            <wp:positionH relativeFrom="column">
              <wp:posOffset>439420</wp:posOffset>
            </wp:positionH>
            <wp:positionV relativeFrom="paragraph">
              <wp:posOffset>140970</wp:posOffset>
            </wp:positionV>
            <wp:extent cx="4188460" cy="1896745"/>
            <wp:effectExtent l="5080" t="5080" r="16510" b="22225"/>
            <wp:wrapSquare wrapText="bothSides"/>
            <wp:docPr id="6" name="图表 5" descr="7b0a202020202263686172745265734964223a20223230343732313936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anchor>
        </w:drawing>
      </w:r>
    </w:p>
    <w:p w14:paraId="74E13DAE">
      <w:pPr>
        <w:pageBreakBefore w:val="0"/>
        <w:kinsoku/>
        <w:wordWrap/>
        <w:overflowPunct/>
        <w:topLinePunct w:val="0"/>
        <w:bidi w:val="0"/>
        <w:spacing w:line="480" w:lineRule="exact"/>
        <w:ind w:firstLine="640"/>
        <w:rPr>
          <w:rFonts w:hint="eastAsia" w:eastAsia="仿宋_GB2312" w:cs="仿宋_GB2312"/>
          <w:color w:val="auto"/>
          <w:kern w:val="2"/>
          <w:sz w:val="32"/>
          <w:szCs w:val="32"/>
          <w:highlight w:val="none"/>
          <w:lang w:val="en-US" w:eastAsia="zh-CN" w:bidi="ar-SA"/>
        </w:rPr>
      </w:pPr>
    </w:p>
    <w:p w14:paraId="4544CF61">
      <w:pPr>
        <w:pageBreakBefore w:val="0"/>
        <w:kinsoku/>
        <w:wordWrap/>
        <w:overflowPunct/>
        <w:topLinePunct w:val="0"/>
        <w:bidi w:val="0"/>
        <w:spacing w:line="480" w:lineRule="exact"/>
        <w:ind w:firstLine="640"/>
        <w:rPr>
          <w:rFonts w:hint="eastAsia" w:eastAsia="仿宋_GB2312" w:cs="仿宋_GB2312"/>
          <w:color w:val="auto"/>
          <w:kern w:val="2"/>
          <w:sz w:val="32"/>
          <w:szCs w:val="32"/>
          <w:highlight w:val="none"/>
          <w:lang w:val="en-US" w:eastAsia="zh-CN" w:bidi="ar-SA"/>
        </w:rPr>
      </w:pPr>
    </w:p>
    <w:p w14:paraId="05C0DF2F">
      <w:pPr>
        <w:pageBreakBefore w:val="0"/>
        <w:kinsoku/>
        <w:wordWrap/>
        <w:overflowPunct/>
        <w:topLinePunct w:val="0"/>
        <w:bidi w:val="0"/>
        <w:spacing w:line="480" w:lineRule="exact"/>
        <w:ind w:firstLine="640"/>
        <w:rPr>
          <w:rFonts w:hint="eastAsia" w:eastAsia="仿宋_GB2312" w:cs="仿宋_GB2312"/>
          <w:color w:val="auto"/>
          <w:kern w:val="2"/>
          <w:sz w:val="32"/>
          <w:szCs w:val="32"/>
          <w:highlight w:val="none"/>
          <w:lang w:val="en-US" w:eastAsia="zh-CN" w:bidi="ar-SA"/>
        </w:rPr>
      </w:pPr>
    </w:p>
    <w:p w14:paraId="08898311">
      <w:pPr>
        <w:pageBreakBefore w:val="0"/>
        <w:kinsoku/>
        <w:wordWrap/>
        <w:overflowPunct/>
        <w:topLinePunct w:val="0"/>
        <w:bidi w:val="0"/>
        <w:spacing w:line="480" w:lineRule="exact"/>
        <w:ind w:firstLine="960" w:firstLineChars="3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（图6：一般公共预算财政拨款支出决算结构）</w:t>
      </w:r>
    </w:p>
    <w:p w14:paraId="71E55593">
      <w:pPr>
        <w:pageBreakBefore w:val="0"/>
        <w:kinsoku/>
        <w:wordWrap/>
        <w:overflowPunct/>
        <w:topLinePunct w:val="0"/>
        <w:bidi w:val="0"/>
        <w:spacing w:line="480" w:lineRule="exact"/>
        <w:ind w:firstLine="643" w:firstLineChars="200"/>
        <w:outlineLvl w:val="2"/>
        <w:rPr>
          <w:rFonts w:hint="eastAsia" w:ascii="Times New Roman" w:hAnsi="Times New Roman" w:eastAsia="楷体_GB2312" w:cs="楷体_GB2312"/>
          <w:b/>
          <w:color w:val="auto"/>
          <w:sz w:val="32"/>
          <w:szCs w:val="32"/>
          <w:highlight w:val="none"/>
        </w:rPr>
      </w:pPr>
      <w:bookmarkStart w:id="30" w:name="_Toc15377212"/>
      <w:r>
        <w:rPr>
          <w:rFonts w:hint="eastAsia" w:ascii="Times New Roman" w:hAnsi="Times New Roman" w:eastAsia="楷体_GB2312" w:cs="楷体_GB2312"/>
          <w:b/>
          <w:color w:val="auto"/>
          <w:sz w:val="32"/>
          <w:szCs w:val="32"/>
          <w:highlight w:val="none"/>
        </w:rPr>
        <w:t>（三）一般公共预算财政拨款支出决算具体情况</w:t>
      </w:r>
      <w:bookmarkEnd w:id="30"/>
    </w:p>
    <w:p w14:paraId="6CD2BD80">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bookmarkStart w:id="31" w:name="_Toc15378460"/>
      <w:bookmarkStart w:id="32" w:name="_Toc15377213"/>
      <w:bookmarkStart w:id="33" w:name="_Toc15377444"/>
      <w:r>
        <w:rPr>
          <w:rFonts w:hint="eastAsia" w:ascii="Times New Roman" w:hAnsi="Times New Roman" w:eastAsia="仿宋_GB2312" w:cs="仿宋_GB2312"/>
          <w:color w:val="auto"/>
          <w:kern w:val="2"/>
          <w:sz w:val="32"/>
          <w:szCs w:val="32"/>
          <w:highlight w:val="none"/>
          <w:lang w:val="en-US" w:eastAsia="zh-CN" w:bidi="ar-SA"/>
        </w:rPr>
        <w:t>2024年度一般公共预算财政拨款支出决算数为</w:t>
      </w:r>
      <w:r>
        <w:rPr>
          <w:rFonts w:hint="eastAsia" w:ascii="仿宋_GB2312" w:hAnsi="仿宋_GB2312" w:eastAsia="仿宋_GB2312" w:cs="仿宋_GB2312"/>
          <w:sz w:val="32"/>
          <w:szCs w:val="32"/>
        </w:rPr>
        <w:t>4039.95</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%。其中：</w:t>
      </w:r>
      <w:bookmarkEnd w:id="31"/>
      <w:bookmarkEnd w:id="32"/>
      <w:bookmarkEnd w:id="33"/>
    </w:p>
    <w:p w14:paraId="529E2015">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科学技术</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50</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w:t>
      </w:r>
      <w:r>
        <w:rPr>
          <w:rFonts w:hint="eastAsia" w:eastAsia="仿宋_GB2312" w:cs="仿宋_GB2312"/>
          <w:color w:val="auto"/>
          <w:kern w:val="2"/>
          <w:sz w:val="32"/>
          <w:szCs w:val="32"/>
          <w:highlight w:val="none"/>
          <w:lang w:val="en-US" w:eastAsia="zh-CN" w:bidi="ar-SA"/>
        </w:rPr>
        <w:t>与</w:t>
      </w:r>
      <w:r>
        <w:rPr>
          <w:rFonts w:hint="eastAsia" w:ascii="Times New Roman" w:hAnsi="Times New Roman" w:eastAsia="仿宋_GB2312" w:cs="仿宋_GB2312"/>
          <w:color w:val="auto"/>
          <w:kern w:val="2"/>
          <w:sz w:val="32"/>
          <w:szCs w:val="32"/>
          <w:highlight w:val="none"/>
          <w:lang w:val="en-US" w:eastAsia="zh-CN" w:bidi="ar-SA"/>
        </w:rPr>
        <w:t>预算数</w:t>
      </w:r>
      <w:r>
        <w:rPr>
          <w:rFonts w:hint="eastAsia" w:eastAsia="仿宋_GB2312" w:cs="仿宋_GB2312"/>
          <w:color w:val="auto"/>
          <w:kern w:val="2"/>
          <w:sz w:val="32"/>
          <w:szCs w:val="32"/>
          <w:highlight w:val="none"/>
          <w:lang w:val="en-US" w:eastAsia="zh-CN" w:bidi="ar-SA"/>
        </w:rPr>
        <w:t>持平。</w:t>
      </w:r>
    </w:p>
    <w:p w14:paraId="7DC3B5B9">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w:t>
      </w:r>
      <w:r>
        <w:rPr>
          <w:rFonts w:hint="eastAsia" w:ascii="Times New Roman" w:hAnsi="Times New Roman" w:eastAsia="仿宋_GB2312" w:cs="仿宋_GB2312"/>
          <w:color w:val="auto"/>
          <w:kern w:val="2"/>
          <w:sz w:val="32"/>
          <w:szCs w:val="32"/>
          <w:highlight w:val="none"/>
          <w:lang w:val="en-US" w:eastAsia="zh-CN" w:bidi="ar-SA"/>
        </w:rPr>
        <w:t>文化旅游体育与传媒</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3378.16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w:t>
      </w:r>
      <w:r>
        <w:rPr>
          <w:rFonts w:hint="eastAsia" w:eastAsia="仿宋_GB2312" w:cs="仿宋_GB2312"/>
          <w:color w:val="auto"/>
          <w:kern w:val="2"/>
          <w:sz w:val="32"/>
          <w:szCs w:val="32"/>
          <w:highlight w:val="none"/>
          <w:lang w:val="en-US" w:eastAsia="zh-CN" w:bidi="ar-SA"/>
        </w:rPr>
        <w:t>与</w:t>
      </w:r>
      <w:r>
        <w:rPr>
          <w:rFonts w:hint="eastAsia" w:ascii="Times New Roman" w:hAnsi="Times New Roman" w:eastAsia="仿宋_GB2312" w:cs="仿宋_GB2312"/>
          <w:color w:val="auto"/>
          <w:kern w:val="2"/>
          <w:sz w:val="32"/>
          <w:szCs w:val="32"/>
          <w:highlight w:val="none"/>
          <w:lang w:val="en-US" w:eastAsia="zh-CN" w:bidi="ar-SA"/>
        </w:rPr>
        <w:t>预算数</w:t>
      </w:r>
      <w:r>
        <w:rPr>
          <w:rFonts w:hint="eastAsia" w:eastAsia="仿宋_GB2312" w:cs="仿宋_GB2312"/>
          <w:color w:val="auto"/>
          <w:kern w:val="2"/>
          <w:sz w:val="32"/>
          <w:szCs w:val="32"/>
          <w:highlight w:val="none"/>
          <w:lang w:val="en-US" w:eastAsia="zh-CN" w:bidi="ar-SA"/>
        </w:rPr>
        <w:t>持平。</w:t>
      </w:r>
    </w:p>
    <w:p w14:paraId="6B387698">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社会保障和就业</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266.63</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w:t>
      </w:r>
      <w:r>
        <w:rPr>
          <w:rFonts w:hint="eastAsia" w:eastAsia="仿宋_GB2312" w:cs="仿宋_GB2312"/>
          <w:color w:val="auto"/>
          <w:kern w:val="2"/>
          <w:sz w:val="32"/>
          <w:szCs w:val="32"/>
          <w:highlight w:val="none"/>
          <w:lang w:val="en-US" w:eastAsia="zh-CN" w:bidi="ar-SA"/>
        </w:rPr>
        <w:t>与</w:t>
      </w:r>
      <w:r>
        <w:rPr>
          <w:rFonts w:hint="eastAsia" w:ascii="Times New Roman" w:hAnsi="Times New Roman" w:eastAsia="仿宋_GB2312" w:cs="仿宋_GB2312"/>
          <w:color w:val="auto"/>
          <w:kern w:val="2"/>
          <w:sz w:val="32"/>
          <w:szCs w:val="32"/>
          <w:highlight w:val="none"/>
          <w:lang w:val="en-US" w:eastAsia="zh-CN" w:bidi="ar-SA"/>
        </w:rPr>
        <w:t>预算数</w:t>
      </w:r>
      <w:r>
        <w:rPr>
          <w:rFonts w:hint="eastAsia" w:eastAsia="仿宋_GB2312" w:cs="仿宋_GB2312"/>
          <w:color w:val="auto"/>
          <w:kern w:val="2"/>
          <w:sz w:val="32"/>
          <w:szCs w:val="32"/>
          <w:highlight w:val="none"/>
          <w:lang w:val="en-US" w:eastAsia="zh-CN" w:bidi="ar-SA"/>
        </w:rPr>
        <w:t>持平。</w:t>
      </w:r>
    </w:p>
    <w:p w14:paraId="6F80E1FC">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4</w:t>
      </w:r>
      <w:r>
        <w:rPr>
          <w:rFonts w:hint="eastAsia" w:ascii="Times New Roman" w:hAnsi="Times New Roman" w:eastAsia="仿宋_GB2312" w:cs="仿宋_GB2312"/>
          <w:color w:val="auto"/>
          <w:kern w:val="2"/>
          <w:sz w:val="32"/>
          <w:szCs w:val="32"/>
          <w:highlight w:val="none"/>
          <w:lang w:val="en-US" w:eastAsia="zh-CN" w:bidi="ar-SA"/>
        </w:rPr>
        <w:t>.卫生健康</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113.89</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w:t>
      </w:r>
      <w:r>
        <w:rPr>
          <w:rFonts w:hint="eastAsia" w:eastAsia="仿宋_GB2312" w:cs="仿宋_GB2312"/>
          <w:color w:val="auto"/>
          <w:kern w:val="2"/>
          <w:sz w:val="32"/>
          <w:szCs w:val="32"/>
          <w:highlight w:val="none"/>
          <w:lang w:val="en-US" w:eastAsia="zh-CN" w:bidi="ar-SA"/>
        </w:rPr>
        <w:t>与</w:t>
      </w:r>
      <w:r>
        <w:rPr>
          <w:rFonts w:hint="eastAsia" w:ascii="Times New Roman" w:hAnsi="Times New Roman" w:eastAsia="仿宋_GB2312" w:cs="仿宋_GB2312"/>
          <w:color w:val="auto"/>
          <w:kern w:val="2"/>
          <w:sz w:val="32"/>
          <w:szCs w:val="32"/>
          <w:highlight w:val="none"/>
          <w:lang w:val="en-US" w:eastAsia="zh-CN" w:bidi="ar-SA"/>
        </w:rPr>
        <w:t>预算数</w:t>
      </w:r>
      <w:r>
        <w:rPr>
          <w:rFonts w:hint="eastAsia" w:eastAsia="仿宋_GB2312" w:cs="仿宋_GB2312"/>
          <w:color w:val="auto"/>
          <w:kern w:val="2"/>
          <w:sz w:val="32"/>
          <w:szCs w:val="32"/>
          <w:highlight w:val="none"/>
          <w:lang w:val="en-US" w:eastAsia="zh-CN" w:bidi="ar-SA"/>
        </w:rPr>
        <w:t>持平。</w:t>
      </w:r>
    </w:p>
    <w:p w14:paraId="2DDD0266">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5.节能环保支出：支出决算为149.52万元，完成预算100%，</w:t>
      </w:r>
      <w:r>
        <w:rPr>
          <w:rFonts w:hint="eastAsia" w:ascii="Times New Roman" w:hAnsi="Times New Roman" w:eastAsia="仿宋_GB2312" w:cs="仿宋_GB2312"/>
          <w:color w:val="auto"/>
          <w:kern w:val="2"/>
          <w:sz w:val="32"/>
          <w:szCs w:val="32"/>
          <w:highlight w:val="none"/>
          <w:lang w:val="en-US" w:eastAsia="zh-CN" w:bidi="ar-SA"/>
        </w:rPr>
        <w:t>决算数</w:t>
      </w:r>
      <w:r>
        <w:rPr>
          <w:rFonts w:hint="eastAsia" w:eastAsia="仿宋_GB2312" w:cs="仿宋_GB2312"/>
          <w:color w:val="auto"/>
          <w:kern w:val="2"/>
          <w:sz w:val="32"/>
          <w:szCs w:val="32"/>
          <w:highlight w:val="none"/>
          <w:lang w:val="en-US" w:eastAsia="zh-CN" w:bidi="ar-SA"/>
        </w:rPr>
        <w:t>与</w:t>
      </w:r>
      <w:r>
        <w:rPr>
          <w:rFonts w:hint="eastAsia" w:ascii="Times New Roman" w:hAnsi="Times New Roman" w:eastAsia="仿宋_GB2312" w:cs="仿宋_GB2312"/>
          <w:color w:val="auto"/>
          <w:kern w:val="2"/>
          <w:sz w:val="32"/>
          <w:szCs w:val="32"/>
          <w:highlight w:val="none"/>
          <w:lang w:val="en-US" w:eastAsia="zh-CN" w:bidi="ar-SA"/>
        </w:rPr>
        <w:t>预算数</w:t>
      </w:r>
      <w:r>
        <w:rPr>
          <w:rFonts w:hint="eastAsia" w:eastAsia="仿宋_GB2312" w:cs="仿宋_GB2312"/>
          <w:color w:val="auto"/>
          <w:kern w:val="2"/>
          <w:sz w:val="32"/>
          <w:szCs w:val="32"/>
          <w:highlight w:val="none"/>
          <w:lang w:val="en-US" w:eastAsia="zh-CN" w:bidi="ar-SA"/>
        </w:rPr>
        <w:t>持平。</w:t>
      </w:r>
    </w:p>
    <w:p w14:paraId="0EBB9F0E">
      <w:pPr>
        <w:pageBreakBefore w:val="0"/>
        <w:kinsoku/>
        <w:wordWrap/>
        <w:overflowPunct/>
        <w:topLinePunct w:val="0"/>
        <w:bidi w:val="0"/>
        <w:spacing w:line="480" w:lineRule="exact"/>
        <w:ind w:firstLine="640"/>
        <w:rPr>
          <w:rFonts w:hint="default"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6.住房保障支出：支出决算为160.29万元，完成预算100%，</w:t>
      </w:r>
      <w:r>
        <w:rPr>
          <w:rFonts w:hint="eastAsia" w:ascii="Times New Roman" w:hAnsi="Times New Roman" w:eastAsia="仿宋_GB2312" w:cs="仿宋_GB2312"/>
          <w:color w:val="auto"/>
          <w:kern w:val="2"/>
          <w:sz w:val="32"/>
          <w:szCs w:val="32"/>
          <w:highlight w:val="none"/>
          <w:lang w:val="en-US" w:eastAsia="zh-CN" w:bidi="ar-SA"/>
        </w:rPr>
        <w:t>决算数</w:t>
      </w:r>
      <w:r>
        <w:rPr>
          <w:rFonts w:hint="eastAsia" w:eastAsia="仿宋_GB2312" w:cs="仿宋_GB2312"/>
          <w:color w:val="auto"/>
          <w:kern w:val="2"/>
          <w:sz w:val="32"/>
          <w:szCs w:val="32"/>
          <w:highlight w:val="none"/>
          <w:lang w:val="en-US" w:eastAsia="zh-CN" w:bidi="ar-SA"/>
        </w:rPr>
        <w:t>与</w:t>
      </w:r>
      <w:r>
        <w:rPr>
          <w:rFonts w:hint="eastAsia" w:ascii="Times New Roman" w:hAnsi="Times New Roman" w:eastAsia="仿宋_GB2312" w:cs="仿宋_GB2312"/>
          <w:color w:val="auto"/>
          <w:kern w:val="2"/>
          <w:sz w:val="32"/>
          <w:szCs w:val="32"/>
          <w:highlight w:val="none"/>
          <w:lang w:val="en-US" w:eastAsia="zh-CN" w:bidi="ar-SA"/>
        </w:rPr>
        <w:t>预算数</w:t>
      </w:r>
      <w:r>
        <w:rPr>
          <w:rFonts w:hint="eastAsia" w:eastAsia="仿宋_GB2312" w:cs="仿宋_GB2312"/>
          <w:color w:val="auto"/>
          <w:kern w:val="2"/>
          <w:sz w:val="32"/>
          <w:szCs w:val="32"/>
          <w:highlight w:val="none"/>
          <w:lang w:val="en-US" w:eastAsia="zh-CN" w:bidi="ar-SA"/>
        </w:rPr>
        <w:t>持平。</w:t>
      </w:r>
    </w:p>
    <w:p w14:paraId="04043D63">
      <w:pPr>
        <w:pageBreakBefore w:val="0"/>
        <w:tabs>
          <w:tab w:val="right" w:pos="8306"/>
        </w:tabs>
        <w:kinsoku/>
        <w:wordWrap/>
        <w:overflowPunct/>
        <w:topLinePunct w:val="0"/>
        <w:bidi w:val="0"/>
        <w:spacing w:line="480" w:lineRule="exact"/>
        <w:ind w:firstLine="640"/>
        <w:outlineLvl w:val="1"/>
        <w:rPr>
          <w:rStyle w:val="18"/>
          <w:rFonts w:ascii="Times New Roman" w:hAnsi="Times New Roman"/>
          <w:color w:val="auto"/>
          <w:highlight w:val="none"/>
        </w:rPr>
      </w:pPr>
      <w:bookmarkStart w:id="34" w:name="_Toc15396608"/>
      <w:bookmarkStart w:id="35" w:name="_Toc15377214"/>
      <w:r>
        <w:rPr>
          <w:rFonts w:hint="eastAsia" w:ascii="Times New Roman" w:hAnsi="Times New Roman" w:eastAsia="黑体"/>
          <w:color w:val="auto"/>
          <w:sz w:val="32"/>
          <w:szCs w:val="32"/>
          <w:highlight w:val="none"/>
        </w:rPr>
        <w:t>六</w:t>
      </w:r>
      <w:r>
        <w:rPr>
          <w:rFonts w:hint="eastAsia" w:ascii="Times New Roman" w:hAnsi="Times New Roman" w:eastAsia="黑体"/>
          <w:b/>
          <w:color w:val="auto"/>
          <w:sz w:val="32"/>
          <w:szCs w:val="32"/>
          <w:highlight w:val="none"/>
        </w:rPr>
        <w:t>、一</w:t>
      </w:r>
      <w:r>
        <w:rPr>
          <w:rStyle w:val="18"/>
          <w:rFonts w:hint="eastAsia" w:ascii="Times New Roman" w:hAnsi="Times New Roman" w:eastAsia="黑体"/>
          <w:b w:val="0"/>
          <w:color w:val="auto"/>
          <w:highlight w:val="none"/>
        </w:rPr>
        <w:t>般公共预算财政拨款基本支出决算情况说明</w:t>
      </w:r>
      <w:bookmarkEnd w:id="34"/>
      <w:bookmarkEnd w:id="35"/>
      <w:r>
        <w:rPr>
          <w:rStyle w:val="18"/>
          <w:rFonts w:ascii="Times New Roman" w:hAnsi="Times New Roman" w:eastAsia="黑体"/>
          <w:b w:val="0"/>
          <w:color w:val="auto"/>
          <w:highlight w:val="none"/>
        </w:rPr>
        <w:tab/>
      </w:r>
    </w:p>
    <w:p w14:paraId="0E141375">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2024年度一般公共预算财政拨款基本支出</w:t>
      </w:r>
      <w:r>
        <w:rPr>
          <w:rFonts w:hint="eastAsia" w:ascii="仿宋_GB2312" w:hAnsi="仿宋_GB2312" w:eastAsia="仿宋_GB2312" w:cs="仿宋_GB2312"/>
          <w:sz w:val="32"/>
          <w:szCs w:val="32"/>
        </w:rPr>
        <w:t>2824.89</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元，其中：</w:t>
      </w:r>
    </w:p>
    <w:p w14:paraId="31651052">
      <w:pPr>
        <w:pageBreakBefore w:val="0"/>
        <w:kinsoku/>
        <w:wordWrap/>
        <w:overflowPunct/>
        <w:topLinePunct w:val="0"/>
        <w:bidi w:val="0"/>
        <w:spacing w:line="480" w:lineRule="exact"/>
        <w:ind w:firstLine="640" w:firstLineChars="20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人员经费</w:t>
      </w:r>
      <w:r>
        <w:rPr>
          <w:rFonts w:hint="eastAsia" w:ascii="仿宋_GB2312" w:hAnsi="仿宋_GB2312" w:eastAsia="仿宋_GB2312" w:cs="仿宋_GB2312"/>
          <w:sz w:val="32"/>
          <w:szCs w:val="32"/>
        </w:rPr>
        <w:t>2418.88</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元，主要包括：基本工资</w:t>
      </w:r>
      <w:r>
        <w:rPr>
          <w:rFonts w:hint="eastAsia" w:eastAsia="仿宋_GB2312" w:cs="仿宋_GB2312"/>
          <w:color w:val="auto"/>
          <w:kern w:val="2"/>
          <w:sz w:val="32"/>
          <w:szCs w:val="32"/>
          <w:highlight w:val="none"/>
          <w:lang w:val="en-US" w:eastAsia="zh-CN" w:bidi="ar-SA"/>
        </w:rPr>
        <w:t>342.34万元</w:t>
      </w:r>
      <w:r>
        <w:rPr>
          <w:rFonts w:hint="eastAsia" w:ascii="Times New Roman" w:hAnsi="Times New Roman" w:eastAsia="仿宋_GB2312" w:cs="仿宋_GB2312"/>
          <w:color w:val="auto"/>
          <w:kern w:val="2"/>
          <w:sz w:val="32"/>
          <w:szCs w:val="32"/>
          <w:highlight w:val="none"/>
          <w:lang w:val="en-US" w:eastAsia="zh-CN" w:bidi="ar-SA"/>
        </w:rPr>
        <w:t>、津贴补贴</w:t>
      </w:r>
      <w:r>
        <w:rPr>
          <w:rFonts w:hint="eastAsia" w:eastAsia="仿宋_GB2312" w:cs="仿宋_GB2312"/>
          <w:color w:val="auto"/>
          <w:kern w:val="2"/>
          <w:sz w:val="32"/>
          <w:szCs w:val="32"/>
          <w:highlight w:val="none"/>
          <w:lang w:val="en-US" w:eastAsia="zh-CN" w:bidi="ar-SA"/>
        </w:rPr>
        <w:t>359.25万元</w:t>
      </w:r>
      <w:r>
        <w:rPr>
          <w:rFonts w:hint="eastAsia" w:ascii="Times New Roman" w:hAnsi="Times New Roman" w:eastAsia="仿宋_GB2312" w:cs="仿宋_GB2312"/>
          <w:color w:val="auto"/>
          <w:kern w:val="2"/>
          <w:sz w:val="32"/>
          <w:szCs w:val="32"/>
          <w:highlight w:val="none"/>
          <w:lang w:val="en-US" w:eastAsia="zh-CN" w:bidi="ar-SA"/>
        </w:rPr>
        <w:t>、奖金</w:t>
      </w:r>
      <w:r>
        <w:rPr>
          <w:rFonts w:hint="eastAsia" w:eastAsia="仿宋_GB2312" w:cs="仿宋_GB2312"/>
          <w:color w:val="auto"/>
          <w:kern w:val="2"/>
          <w:sz w:val="32"/>
          <w:szCs w:val="32"/>
          <w:highlight w:val="none"/>
          <w:lang w:val="en-US" w:eastAsia="zh-CN" w:bidi="ar-SA"/>
        </w:rPr>
        <w:t>473.77万元</w:t>
      </w:r>
      <w:r>
        <w:rPr>
          <w:rFonts w:hint="eastAsia" w:ascii="Times New Roman" w:hAnsi="Times New Roman" w:eastAsia="仿宋_GB2312" w:cs="仿宋_GB2312"/>
          <w:color w:val="auto"/>
          <w:kern w:val="2"/>
          <w:sz w:val="32"/>
          <w:szCs w:val="32"/>
          <w:highlight w:val="none"/>
          <w:lang w:val="en-US" w:eastAsia="zh-CN" w:bidi="ar-SA"/>
        </w:rPr>
        <w:t>、伙食补助费</w:t>
      </w:r>
      <w:r>
        <w:rPr>
          <w:rFonts w:hint="eastAsia" w:eastAsia="仿宋_GB2312" w:cs="仿宋_GB2312"/>
          <w:color w:val="auto"/>
          <w:kern w:val="2"/>
          <w:sz w:val="32"/>
          <w:szCs w:val="32"/>
          <w:highlight w:val="none"/>
          <w:lang w:val="en-US" w:eastAsia="zh-CN" w:bidi="ar-SA"/>
        </w:rPr>
        <w:t>75.99万元</w:t>
      </w:r>
      <w:r>
        <w:rPr>
          <w:rFonts w:hint="eastAsia" w:ascii="Times New Roman" w:hAnsi="Times New Roman" w:eastAsia="仿宋_GB2312" w:cs="仿宋_GB2312"/>
          <w:color w:val="auto"/>
          <w:kern w:val="2"/>
          <w:sz w:val="32"/>
          <w:szCs w:val="32"/>
          <w:highlight w:val="none"/>
          <w:lang w:val="en-US" w:eastAsia="zh-CN" w:bidi="ar-SA"/>
        </w:rPr>
        <w:t>、绩效工资</w:t>
      </w:r>
      <w:r>
        <w:rPr>
          <w:rFonts w:hint="eastAsia" w:eastAsia="仿宋_GB2312" w:cs="仿宋_GB2312"/>
          <w:color w:val="auto"/>
          <w:kern w:val="2"/>
          <w:sz w:val="32"/>
          <w:szCs w:val="32"/>
          <w:highlight w:val="none"/>
          <w:lang w:val="en-US" w:eastAsia="zh-CN" w:bidi="ar-SA"/>
        </w:rPr>
        <w:t>231.08万元</w:t>
      </w:r>
      <w:r>
        <w:rPr>
          <w:rFonts w:hint="eastAsia" w:ascii="Times New Roman" w:hAnsi="Times New Roman" w:eastAsia="仿宋_GB2312" w:cs="仿宋_GB2312"/>
          <w:color w:val="auto"/>
          <w:kern w:val="2"/>
          <w:sz w:val="32"/>
          <w:szCs w:val="32"/>
          <w:highlight w:val="none"/>
          <w:lang w:val="en-US" w:eastAsia="zh-CN" w:bidi="ar-SA"/>
        </w:rPr>
        <w:t>、机关事业单位基本养老保险缴费</w:t>
      </w:r>
      <w:r>
        <w:rPr>
          <w:rFonts w:hint="eastAsia" w:eastAsia="仿宋_GB2312" w:cs="仿宋_GB2312"/>
          <w:color w:val="auto"/>
          <w:kern w:val="2"/>
          <w:sz w:val="32"/>
          <w:szCs w:val="32"/>
          <w:highlight w:val="none"/>
          <w:lang w:val="en-US" w:eastAsia="zh-CN" w:bidi="ar-SA"/>
        </w:rPr>
        <w:t>170.96万元</w:t>
      </w:r>
      <w:r>
        <w:rPr>
          <w:rFonts w:hint="eastAsia" w:ascii="Times New Roman" w:hAnsi="Times New Roman" w:eastAsia="仿宋_GB2312" w:cs="仿宋_GB2312"/>
          <w:color w:val="auto"/>
          <w:kern w:val="2"/>
          <w:sz w:val="32"/>
          <w:szCs w:val="32"/>
          <w:highlight w:val="none"/>
          <w:lang w:val="en-US" w:eastAsia="zh-CN" w:bidi="ar-SA"/>
        </w:rPr>
        <w:t>、职业年金缴费</w:t>
      </w:r>
      <w:r>
        <w:rPr>
          <w:rFonts w:hint="eastAsia" w:eastAsia="仿宋_GB2312" w:cs="仿宋_GB2312"/>
          <w:color w:val="auto"/>
          <w:kern w:val="2"/>
          <w:sz w:val="32"/>
          <w:szCs w:val="32"/>
          <w:highlight w:val="none"/>
          <w:lang w:val="en-US" w:eastAsia="zh-CN" w:bidi="ar-SA"/>
        </w:rPr>
        <w:t>85.48万元</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职工基本医疗保险缴费93.63万元、</w:t>
      </w:r>
      <w:r>
        <w:rPr>
          <w:rFonts w:hint="eastAsia" w:ascii="Times New Roman" w:hAnsi="Times New Roman" w:eastAsia="仿宋_GB2312" w:cs="仿宋_GB2312"/>
          <w:color w:val="auto"/>
          <w:kern w:val="2"/>
          <w:sz w:val="32"/>
          <w:szCs w:val="32"/>
          <w:highlight w:val="none"/>
          <w:lang w:val="en-US" w:eastAsia="zh-CN" w:bidi="ar-SA"/>
        </w:rPr>
        <w:t>其他社会保障缴费</w:t>
      </w:r>
      <w:r>
        <w:rPr>
          <w:rFonts w:hint="eastAsia" w:eastAsia="仿宋_GB2312" w:cs="仿宋_GB2312"/>
          <w:color w:val="auto"/>
          <w:kern w:val="2"/>
          <w:sz w:val="32"/>
          <w:szCs w:val="32"/>
          <w:highlight w:val="none"/>
          <w:lang w:val="en-US" w:eastAsia="zh-CN" w:bidi="ar-SA"/>
        </w:rPr>
        <w:t>47.64万元</w:t>
      </w:r>
      <w:r>
        <w:rPr>
          <w:rFonts w:hint="eastAsia" w:ascii="Times New Roman" w:hAnsi="Times New Roman" w:eastAsia="仿宋_GB2312" w:cs="仿宋_GB2312"/>
          <w:color w:val="auto"/>
          <w:kern w:val="2"/>
          <w:sz w:val="32"/>
          <w:szCs w:val="32"/>
          <w:highlight w:val="none"/>
          <w:lang w:val="en-US" w:eastAsia="zh-CN" w:bidi="ar-SA"/>
        </w:rPr>
        <w:t>、其他工资福利支出</w:t>
      </w:r>
      <w:r>
        <w:rPr>
          <w:rFonts w:hint="eastAsia" w:eastAsia="仿宋_GB2312" w:cs="仿宋_GB2312"/>
          <w:color w:val="auto"/>
          <w:kern w:val="2"/>
          <w:sz w:val="32"/>
          <w:szCs w:val="32"/>
          <w:highlight w:val="none"/>
          <w:lang w:val="en-US" w:eastAsia="zh-CN" w:bidi="ar-SA"/>
        </w:rPr>
        <w:t>331.83万元</w:t>
      </w:r>
      <w:r>
        <w:rPr>
          <w:rFonts w:hint="eastAsia" w:ascii="Times New Roman" w:hAnsi="Times New Roman" w:eastAsia="仿宋_GB2312" w:cs="仿宋_GB2312"/>
          <w:color w:val="auto"/>
          <w:kern w:val="2"/>
          <w:sz w:val="32"/>
          <w:szCs w:val="32"/>
          <w:highlight w:val="none"/>
          <w:lang w:val="en-US" w:eastAsia="zh-CN" w:bidi="ar-SA"/>
        </w:rPr>
        <w:t>、生活补助</w:t>
      </w:r>
      <w:r>
        <w:rPr>
          <w:rFonts w:hint="eastAsia" w:eastAsia="仿宋_GB2312" w:cs="仿宋_GB2312"/>
          <w:color w:val="auto"/>
          <w:kern w:val="2"/>
          <w:sz w:val="32"/>
          <w:szCs w:val="32"/>
          <w:highlight w:val="none"/>
          <w:lang w:val="en-US" w:eastAsia="zh-CN" w:bidi="ar-SA"/>
        </w:rPr>
        <w:t>45.31万元</w:t>
      </w:r>
      <w:r>
        <w:rPr>
          <w:rFonts w:hint="eastAsia" w:ascii="Times New Roman" w:hAnsi="Times New Roman" w:eastAsia="仿宋_GB2312" w:cs="仿宋_GB2312"/>
          <w:color w:val="auto"/>
          <w:kern w:val="2"/>
          <w:sz w:val="32"/>
          <w:szCs w:val="32"/>
          <w:highlight w:val="none"/>
          <w:lang w:val="en-US" w:eastAsia="zh-CN" w:bidi="ar-SA"/>
        </w:rPr>
        <w:t>、奖励金</w:t>
      </w:r>
      <w:r>
        <w:rPr>
          <w:rFonts w:hint="eastAsia" w:eastAsia="仿宋_GB2312" w:cs="仿宋_GB2312"/>
          <w:color w:val="auto"/>
          <w:kern w:val="2"/>
          <w:sz w:val="32"/>
          <w:szCs w:val="32"/>
          <w:highlight w:val="none"/>
          <w:lang w:val="en-US" w:eastAsia="zh-CN" w:bidi="ar-SA"/>
        </w:rPr>
        <w:t>3.51万元</w:t>
      </w:r>
      <w:r>
        <w:rPr>
          <w:rFonts w:hint="eastAsia" w:ascii="Times New Roman" w:hAnsi="Times New Roman" w:eastAsia="仿宋_GB2312" w:cs="仿宋_GB2312"/>
          <w:color w:val="auto"/>
          <w:kern w:val="2"/>
          <w:sz w:val="32"/>
          <w:szCs w:val="32"/>
          <w:highlight w:val="none"/>
          <w:lang w:val="en-US" w:eastAsia="zh-CN" w:bidi="ar-SA"/>
        </w:rPr>
        <w:t>、住房公积金</w:t>
      </w:r>
      <w:r>
        <w:rPr>
          <w:rFonts w:hint="eastAsia" w:eastAsia="仿宋_GB2312" w:cs="仿宋_GB2312"/>
          <w:color w:val="auto"/>
          <w:kern w:val="2"/>
          <w:sz w:val="32"/>
          <w:szCs w:val="32"/>
          <w:highlight w:val="none"/>
          <w:lang w:val="en-US" w:eastAsia="zh-CN" w:bidi="ar-SA"/>
        </w:rPr>
        <w:t>158.09万元。</w:t>
      </w:r>
    </w:p>
    <w:p w14:paraId="2ED726A0">
      <w:pPr>
        <w:pageBreakBefore w:val="0"/>
        <w:kinsoku/>
        <w:wordWrap/>
        <w:overflowPunct/>
        <w:topLinePunct w:val="0"/>
        <w:bidi w:val="0"/>
        <w:spacing w:line="48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公用经费</w:t>
      </w:r>
      <w:r>
        <w:rPr>
          <w:rFonts w:hint="eastAsia" w:ascii="仿宋_GB2312" w:hAnsi="仿宋_GB2312" w:eastAsia="仿宋_GB2312" w:cs="仿宋_GB2312"/>
          <w:sz w:val="32"/>
          <w:szCs w:val="32"/>
        </w:rPr>
        <w:t>406</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元，主要包括：办公费</w:t>
      </w:r>
      <w:r>
        <w:rPr>
          <w:rFonts w:hint="eastAsia" w:eastAsia="仿宋_GB2312" w:cs="仿宋_GB2312"/>
          <w:color w:val="auto"/>
          <w:kern w:val="2"/>
          <w:sz w:val="32"/>
          <w:szCs w:val="32"/>
          <w:highlight w:val="none"/>
          <w:lang w:val="en-US" w:eastAsia="zh-CN" w:bidi="ar-SA"/>
        </w:rPr>
        <w:t>49.69万元</w:t>
      </w:r>
      <w:r>
        <w:rPr>
          <w:rFonts w:hint="eastAsia" w:ascii="Times New Roman" w:hAnsi="Times New Roman" w:eastAsia="仿宋_GB2312" w:cs="仿宋_GB2312"/>
          <w:color w:val="auto"/>
          <w:kern w:val="2"/>
          <w:sz w:val="32"/>
          <w:szCs w:val="32"/>
          <w:highlight w:val="none"/>
          <w:lang w:val="en-US" w:eastAsia="zh-CN" w:bidi="ar-SA"/>
        </w:rPr>
        <w:t>、邮电费</w:t>
      </w:r>
      <w:r>
        <w:rPr>
          <w:rFonts w:hint="eastAsia" w:eastAsia="仿宋_GB2312" w:cs="仿宋_GB2312"/>
          <w:color w:val="auto"/>
          <w:kern w:val="2"/>
          <w:sz w:val="32"/>
          <w:szCs w:val="32"/>
          <w:highlight w:val="none"/>
          <w:lang w:val="en-US" w:eastAsia="zh-CN" w:bidi="ar-SA"/>
        </w:rPr>
        <w:t>25.43万元</w:t>
      </w:r>
      <w:r>
        <w:rPr>
          <w:rFonts w:hint="eastAsia" w:ascii="Times New Roman" w:hAnsi="Times New Roman" w:eastAsia="仿宋_GB2312" w:cs="仿宋_GB2312"/>
          <w:color w:val="auto"/>
          <w:kern w:val="2"/>
          <w:sz w:val="32"/>
          <w:szCs w:val="32"/>
          <w:highlight w:val="none"/>
          <w:lang w:val="en-US" w:eastAsia="zh-CN" w:bidi="ar-SA"/>
        </w:rPr>
        <w:t>、差旅费</w:t>
      </w:r>
      <w:r>
        <w:rPr>
          <w:rFonts w:hint="eastAsia" w:eastAsia="仿宋_GB2312" w:cs="仿宋_GB2312"/>
          <w:color w:val="auto"/>
          <w:kern w:val="2"/>
          <w:sz w:val="32"/>
          <w:szCs w:val="32"/>
          <w:highlight w:val="none"/>
          <w:lang w:val="en-US" w:eastAsia="zh-CN" w:bidi="ar-SA"/>
        </w:rPr>
        <w:t>83.82万元、</w:t>
      </w:r>
      <w:r>
        <w:rPr>
          <w:rFonts w:hint="eastAsia" w:ascii="Times New Roman" w:hAnsi="Times New Roman" w:eastAsia="仿宋_GB2312" w:cs="仿宋_GB2312"/>
          <w:color w:val="auto"/>
          <w:kern w:val="2"/>
          <w:sz w:val="32"/>
          <w:szCs w:val="32"/>
          <w:highlight w:val="none"/>
          <w:lang w:val="en-US" w:eastAsia="zh-CN" w:bidi="ar-SA"/>
        </w:rPr>
        <w:t>维修（护）费</w:t>
      </w:r>
      <w:r>
        <w:rPr>
          <w:rFonts w:hint="eastAsia" w:eastAsia="仿宋_GB2312" w:cs="仿宋_GB2312"/>
          <w:color w:val="auto"/>
          <w:kern w:val="2"/>
          <w:sz w:val="32"/>
          <w:szCs w:val="32"/>
          <w:highlight w:val="none"/>
          <w:lang w:val="en-US" w:eastAsia="zh-CN" w:bidi="ar-SA"/>
        </w:rPr>
        <w:t>46.00万元</w:t>
      </w:r>
      <w:r>
        <w:rPr>
          <w:rFonts w:hint="eastAsia" w:ascii="Times New Roman" w:hAnsi="Times New Roman" w:eastAsia="仿宋_GB2312" w:cs="仿宋_GB2312"/>
          <w:color w:val="auto"/>
          <w:kern w:val="2"/>
          <w:sz w:val="32"/>
          <w:szCs w:val="32"/>
          <w:highlight w:val="none"/>
          <w:lang w:val="en-US" w:eastAsia="zh-CN" w:bidi="ar-SA"/>
        </w:rPr>
        <w:t>、培训费</w:t>
      </w:r>
      <w:r>
        <w:rPr>
          <w:rFonts w:hint="eastAsia" w:eastAsia="仿宋_GB2312" w:cs="仿宋_GB2312"/>
          <w:color w:val="auto"/>
          <w:kern w:val="2"/>
          <w:sz w:val="32"/>
          <w:szCs w:val="32"/>
          <w:highlight w:val="none"/>
          <w:lang w:val="en-US" w:eastAsia="zh-CN" w:bidi="ar-SA"/>
        </w:rPr>
        <w:t>3.58万元</w:t>
      </w:r>
      <w:r>
        <w:rPr>
          <w:rFonts w:hint="eastAsia" w:ascii="Times New Roman" w:hAnsi="Times New Roman" w:eastAsia="仿宋_GB2312" w:cs="仿宋_GB2312"/>
          <w:color w:val="auto"/>
          <w:kern w:val="2"/>
          <w:sz w:val="32"/>
          <w:szCs w:val="32"/>
          <w:highlight w:val="none"/>
          <w:lang w:val="en-US" w:eastAsia="zh-CN" w:bidi="ar-SA"/>
        </w:rPr>
        <w:t>、公务接待费</w:t>
      </w:r>
      <w:r>
        <w:rPr>
          <w:rFonts w:hint="eastAsia" w:eastAsia="仿宋_GB2312" w:cs="仿宋_GB2312"/>
          <w:color w:val="auto"/>
          <w:kern w:val="2"/>
          <w:sz w:val="32"/>
          <w:szCs w:val="32"/>
          <w:highlight w:val="none"/>
          <w:lang w:val="en-US" w:eastAsia="zh-CN" w:bidi="ar-SA"/>
        </w:rPr>
        <w:t>5.62万元</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专用材料费11.38万元、福利费27.55万元、工会经费0.33万元、</w:t>
      </w:r>
      <w:r>
        <w:rPr>
          <w:rFonts w:hint="eastAsia" w:ascii="Times New Roman" w:hAnsi="Times New Roman" w:eastAsia="仿宋_GB2312" w:cs="仿宋_GB2312"/>
          <w:color w:val="auto"/>
          <w:kern w:val="2"/>
          <w:sz w:val="32"/>
          <w:szCs w:val="32"/>
          <w:highlight w:val="none"/>
          <w:lang w:val="en-US" w:eastAsia="zh-CN" w:bidi="ar-SA"/>
        </w:rPr>
        <w:t>公务用车运行维护费</w:t>
      </w:r>
      <w:r>
        <w:rPr>
          <w:rFonts w:hint="eastAsia" w:eastAsia="仿宋_GB2312" w:cs="仿宋_GB2312"/>
          <w:color w:val="auto"/>
          <w:kern w:val="2"/>
          <w:sz w:val="32"/>
          <w:szCs w:val="32"/>
          <w:highlight w:val="none"/>
          <w:lang w:val="en-US" w:eastAsia="zh-CN" w:bidi="ar-SA"/>
        </w:rPr>
        <w:t>104.63万元</w:t>
      </w:r>
      <w:r>
        <w:rPr>
          <w:rFonts w:hint="eastAsia" w:ascii="Times New Roman" w:hAnsi="Times New Roman" w:eastAsia="仿宋_GB2312" w:cs="仿宋_GB2312"/>
          <w:color w:val="auto"/>
          <w:kern w:val="2"/>
          <w:sz w:val="32"/>
          <w:szCs w:val="32"/>
          <w:highlight w:val="none"/>
          <w:lang w:val="en-US" w:eastAsia="zh-CN" w:bidi="ar-SA"/>
        </w:rPr>
        <w:t>、其他商品和服务支出</w:t>
      </w:r>
      <w:r>
        <w:rPr>
          <w:rFonts w:hint="eastAsia" w:eastAsia="仿宋_GB2312" w:cs="仿宋_GB2312"/>
          <w:color w:val="auto"/>
          <w:kern w:val="2"/>
          <w:sz w:val="32"/>
          <w:szCs w:val="32"/>
          <w:highlight w:val="none"/>
          <w:lang w:val="en-US" w:eastAsia="zh-CN" w:bidi="ar-SA"/>
        </w:rPr>
        <w:t>30.89万元</w:t>
      </w:r>
      <w:r>
        <w:rPr>
          <w:rFonts w:hint="eastAsia" w:ascii="Times New Roman" w:hAnsi="Times New Roman" w:eastAsia="仿宋_GB2312" w:cs="仿宋_GB2312"/>
          <w:color w:val="auto"/>
          <w:kern w:val="2"/>
          <w:sz w:val="32"/>
          <w:szCs w:val="32"/>
          <w:highlight w:val="none"/>
          <w:lang w:val="en-US" w:eastAsia="zh-CN" w:bidi="ar-SA"/>
        </w:rPr>
        <w:t>、办公设备购置</w:t>
      </w:r>
      <w:r>
        <w:rPr>
          <w:rFonts w:hint="eastAsia" w:eastAsia="仿宋_GB2312" w:cs="仿宋_GB2312"/>
          <w:color w:val="auto"/>
          <w:kern w:val="2"/>
          <w:sz w:val="32"/>
          <w:szCs w:val="32"/>
          <w:highlight w:val="none"/>
          <w:lang w:val="en-US" w:eastAsia="zh-CN" w:bidi="ar-SA"/>
        </w:rPr>
        <w:t>5.39万元</w:t>
      </w:r>
      <w:r>
        <w:rPr>
          <w:rFonts w:hint="eastAsia" w:ascii="Times New Roman" w:hAnsi="Times New Roman" w:eastAsia="仿宋_GB2312" w:cs="仿宋_GB2312"/>
          <w:color w:val="auto"/>
          <w:kern w:val="2"/>
          <w:sz w:val="32"/>
          <w:szCs w:val="32"/>
          <w:highlight w:val="none"/>
          <w:lang w:val="en-US" w:eastAsia="zh-CN" w:bidi="ar-SA"/>
        </w:rPr>
        <w:t>、专用设备购置</w:t>
      </w:r>
      <w:r>
        <w:rPr>
          <w:rFonts w:hint="eastAsia" w:eastAsia="仿宋_GB2312" w:cs="仿宋_GB2312"/>
          <w:color w:val="auto"/>
          <w:kern w:val="2"/>
          <w:sz w:val="32"/>
          <w:szCs w:val="32"/>
          <w:highlight w:val="none"/>
          <w:lang w:val="en-US" w:eastAsia="zh-CN" w:bidi="ar-SA"/>
        </w:rPr>
        <w:t>11.69万元。</w:t>
      </w:r>
    </w:p>
    <w:p w14:paraId="64874AD1">
      <w:pPr>
        <w:pageBreakBefore w:val="0"/>
        <w:kinsoku/>
        <w:wordWrap/>
        <w:overflowPunct/>
        <w:topLinePunct w:val="0"/>
        <w:bidi w:val="0"/>
        <w:spacing w:line="480" w:lineRule="exact"/>
        <w:ind w:firstLine="640"/>
        <w:outlineLvl w:val="1"/>
        <w:rPr>
          <w:rStyle w:val="18"/>
          <w:rFonts w:ascii="Times New Roman" w:hAnsi="Times New Roman" w:eastAsia="黑体"/>
          <w:b w:val="0"/>
          <w:color w:val="auto"/>
          <w:highlight w:val="none"/>
        </w:rPr>
      </w:pPr>
      <w:bookmarkStart w:id="36" w:name="_Toc15396609"/>
      <w:bookmarkStart w:id="37" w:name="_Toc15377215"/>
      <w:r>
        <w:rPr>
          <w:rFonts w:hint="eastAsia" w:ascii="Times New Roman" w:hAnsi="Times New Roman" w:eastAsia="黑体"/>
          <w:color w:val="auto"/>
          <w:sz w:val="32"/>
          <w:szCs w:val="32"/>
          <w:highlight w:val="none"/>
        </w:rPr>
        <w:t>七、</w:t>
      </w:r>
      <w:r>
        <w:rPr>
          <w:rStyle w:val="18"/>
          <w:rFonts w:hint="eastAsia" w:ascii="Times New Roman" w:hAnsi="Times New Roman" w:eastAsia="黑体"/>
          <w:b w:val="0"/>
          <w:color w:val="auto"/>
          <w:highlight w:val="none"/>
        </w:rPr>
        <w:t>财政拨款</w:t>
      </w:r>
      <w:r>
        <w:rPr>
          <w:rStyle w:val="18"/>
          <w:rFonts w:hint="eastAsia" w:ascii="Times New Roman" w:hAnsi="Times New Roman" w:eastAsia="黑体"/>
          <w:color w:val="auto"/>
          <w:highlight w:val="none"/>
        </w:rPr>
        <w:t>“</w:t>
      </w:r>
      <w:r>
        <w:rPr>
          <w:rStyle w:val="18"/>
          <w:rFonts w:hint="eastAsia" w:ascii="Times New Roman" w:hAnsi="Times New Roman" w:eastAsia="黑体"/>
          <w:b w:val="0"/>
          <w:color w:val="auto"/>
          <w:highlight w:val="none"/>
        </w:rPr>
        <w:t>三公”经费支出决算情况说明</w:t>
      </w:r>
      <w:bookmarkEnd w:id="36"/>
      <w:bookmarkEnd w:id="37"/>
    </w:p>
    <w:p w14:paraId="00310A8F">
      <w:pPr>
        <w:pageBreakBefore w:val="0"/>
        <w:kinsoku/>
        <w:wordWrap/>
        <w:overflowPunct/>
        <w:topLinePunct w:val="0"/>
        <w:bidi w:val="0"/>
        <w:spacing w:line="480" w:lineRule="exact"/>
        <w:ind w:firstLine="643" w:firstLineChars="200"/>
        <w:outlineLvl w:val="2"/>
        <w:rPr>
          <w:rFonts w:hint="eastAsia" w:ascii="Times New Roman" w:hAnsi="Times New Roman" w:eastAsia="楷体_GB2312" w:cs="楷体_GB2312"/>
          <w:b/>
          <w:color w:val="auto"/>
          <w:sz w:val="32"/>
          <w:szCs w:val="32"/>
          <w:highlight w:val="none"/>
        </w:rPr>
      </w:pPr>
      <w:bookmarkStart w:id="38" w:name="_Toc15377216"/>
      <w:r>
        <w:rPr>
          <w:rFonts w:hint="eastAsia" w:ascii="Times New Roman" w:hAnsi="Times New Roman" w:eastAsia="楷体_GB2312" w:cs="楷体_GB2312"/>
          <w:b/>
          <w:color w:val="auto"/>
          <w:sz w:val="32"/>
          <w:szCs w:val="32"/>
          <w:highlight w:val="none"/>
        </w:rPr>
        <w:t>（一）“三公”经费财政拨款支出决算总体情况说明</w:t>
      </w:r>
      <w:bookmarkEnd w:id="38"/>
    </w:p>
    <w:p w14:paraId="16928904">
      <w:pPr>
        <w:pageBreakBefore w:val="0"/>
        <w:kinsoku/>
        <w:wordWrap/>
        <w:overflowPunct/>
        <w:topLinePunct w:val="0"/>
        <w:bidi w:val="0"/>
        <w:spacing w:line="48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2024年度“三公”经费财政拨款支出决算为</w:t>
      </w:r>
      <w:r>
        <w:rPr>
          <w:rFonts w:hint="eastAsia" w:ascii="仿宋_GB2312" w:hAnsi="仿宋_GB2312" w:eastAsia="仿宋_GB2312" w:cs="仿宋_GB2312"/>
          <w:sz w:val="32"/>
          <w:szCs w:val="32"/>
        </w:rPr>
        <w:t>151.95</w:t>
      </w:r>
      <w:r>
        <w:rPr>
          <w:rFonts w:hint="eastAsia" w:ascii="仿宋_GB2312" w:hAnsi="仿宋_GB2312" w:eastAsia="仿宋_GB2312" w:cs="仿宋_GB2312"/>
          <w:color w:val="auto"/>
          <w:kern w:val="2"/>
          <w:sz w:val="32"/>
          <w:szCs w:val="32"/>
          <w:highlight w:val="none"/>
          <w:lang w:val="en-US" w:eastAsia="zh-CN" w:bidi="ar-SA"/>
        </w:rPr>
        <w:t>万元，完成预算</w:t>
      </w:r>
      <w:r>
        <w:rPr>
          <w:rFonts w:hint="eastAsia" w:ascii="仿宋_GB2312" w:hAnsi="仿宋_GB2312" w:eastAsia="仿宋_GB2312" w:cs="仿宋_GB2312"/>
          <w:sz w:val="32"/>
          <w:szCs w:val="32"/>
        </w:rPr>
        <w:t>100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较上年度减少</w:t>
      </w:r>
      <w:r>
        <w:rPr>
          <w:rFonts w:hint="eastAsia" w:eastAsia="仿宋_GB2312" w:cs="仿宋_GB2312"/>
          <w:color w:val="auto"/>
          <w:kern w:val="2"/>
          <w:sz w:val="32"/>
          <w:szCs w:val="32"/>
          <w:highlight w:val="none"/>
          <w:lang w:val="en-US" w:eastAsia="zh-CN" w:bidi="ar-SA"/>
        </w:rPr>
        <w:t>68.8</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45.28</w:t>
      </w:r>
      <w:r>
        <w:rPr>
          <w:rFonts w:hint="eastAsia" w:ascii="Times New Roman" w:hAnsi="Times New Roman" w:eastAsia="仿宋_GB2312" w:cs="仿宋_GB2312"/>
          <w:color w:val="auto"/>
          <w:kern w:val="2"/>
          <w:sz w:val="32"/>
          <w:szCs w:val="32"/>
          <w:highlight w:val="none"/>
          <w:lang w:val="en-US" w:eastAsia="zh-CN" w:bidi="ar-SA"/>
        </w:rPr>
        <w:t>%。决算数与预算数持平</w:t>
      </w:r>
      <w:r>
        <w:rPr>
          <w:rFonts w:hint="eastAsia" w:eastAsia="仿宋_GB2312" w:cs="仿宋_GB2312"/>
          <w:color w:val="auto"/>
          <w:kern w:val="2"/>
          <w:sz w:val="32"/>
          <w:szCs w:val="32"/>
          <w:highlight w:val="none"/>
          <w:lang w:val="en-US" w:eastAsia="zh-CN" w:bidi="ar-SA"/>
        </w:rPr>
        <w:t>。</w:t>
      </w:r>
    </w:p>
    <w:p w14:paraId="45EE9C58">
      <w:pPr>
        <w:pageBreakBefore w:val="0"/>
        <w:kinsoku/>
        <w:wordWrap/>
        <w:overflowPunct/>
        <w:topLinePunct w:val="0"/>
        <w:bidi w:val="0"/>
        <w:spacing w:line="480" w:lineRule="exact"/>
        <w:ind w:firstLine="643" w:firstLineChars="200"/>
        <w:outlineLvl w:val="2"/>
        <w:rPr>
          <w:rFonts w:hint="eastAsia" w:ascii="Times New Roman" w:hAnsi="Times New Roman" w:eastAsia="楷体_GB2312" w:cs="楷体_GB2312"/>
          <w:b/>
          <w:color w:val="auto"/>
          <w:sz w:val="32"/>
          <w:szCs w:val="32"/>
          <w:highlight w:val="none"/>
        </w:rPr>
      </w:pPr>
      <w:bookmarkStart w:id="39" w:name="_Toc15377217"/>
      <w:r>
        <w:rPr>
          <w:rFonts w:hint="eastAsia" w:ascii="Times New Roman" w:hAnsi="Times New Roman" w:eastAsia="楷体_GB2312" w:cs="楷体_GB2312"/>
          <w:b/>
          <w:color w:val="auto"/>
          <w:sz w:val="32"/>
          <w:szCs w:val="32"/>
          <w:highlight w:val="none"/>
        </w:rPr>
        <w:t>（二）“三公”经费财政拨款支出决算具体情况说明</w:t>
      </w:r>
      <w:bookmarkEnd w:id="39"/>
    </w:p>
    <w:p w14:paraId="14D98DC3">
      <w:pPr>
        <w:pageBreakBefore w:val="0"/>
        <w:kinsoku/>
        <w:wordWrap/>
        <w:overflowPunct/>
        <w:topLinePunct w:val="0"/>
        <w:bidi w:val="0"/>
        <w:spacing w:line="480" w:lineRule="exact"/>
        <w:ind w:firstLine="640"/>
        <w:rPr>
          <w:rFonts w:hint="eastAsia"/>
          <w:lang w:val="en-US" w:eastAsia="zh-CN"/>
        </w:rPr>
      </w:pPr>
      <w:r>
        <w:rPr>
          <w:rFonts w:hint="eastAsia" w:ascii="仿宋_GB2312" w:hAnsi="仿宋_GB2312" w:eastAsia="仿宋_GB2312" w:cs="仿宋_GB2312"/>
          <w:color w:val="auto"/>
          <w:kern w:val="2"/>
          <w:sz w:val="32"/>
          <w:szCs w:val="32"/>
          <w:highlight w:val="none"/>
          <w:lang w:val="en-US" w:eastAsia="zh-CN" w:bidi="ar-SA"/>
        </w:rPr>
        <w:t>2024年度“三公”经费财政拨款支出决算中，公务用车购置及运行维护费支出决算</w:t>
      </w:r>
      <w:r>
        <w:rPr>
          <w:rFonts w:hint="eastAsia" w:ascii="仿宋_GB2312" w:hAnsi="仿宋_GB2312" w:eastAsia="仿宋_GB2312" w:cs="仿宋_GB2312"/>
          <w:sz w:val="32"/>
          <w:szCs w:val="32"/>
          <w:lang w:val="en-US" w:eastAsia="zh-CN"/>
        </w:rPr>
        <w:t>118.99</w:t>
      </w:r>
      <w:r>
        <w:rPr>
          <w:rFonts w:hint="eastAsia" w:ascii="仿宋_GB2312" w:hAnsi="仿宋_GB2312" w:eastAsia="仿宋_GB2312" w:cs="仿宋_GB2312"/>
          <w:color w:val="auto"/>
          <w:kern w:val="2"/>
          <w:sz w:val="32"/>
          <w:szCs w:val="32"/>
          <w:highlight w:val="none"/>
          <w:lang w:val="en-US" w:eastAsia="zh-CN" w:bidi="ar-SA"/>
        </w:rPr>
        <w:t>万元，占78.31%；公务接待费支出决算</w:t>
      </w:r>
      <w:r>
        <w:rPr>
          <w:rFonts w:hint="eastAsia" w:ascii="仿宋_GB2312" w:hAnsi="仿宋_GB2312" w:eastAsia="仿宋_GB2312" w:cs="仿宋_GB2312"/>
          <w:sz w:val="32"/>
          <w:szCs w:val="32"/>
          <w:lang w:val="en-US" w:eastAsia="zh-CN"/>
        </w:rPr>
        <w:t>32.96</w:t>
      </w:r>
      <w:r>
        <w:rPr>
          <w:rFonts w:hint="eastAsia" w:ascii="仿宋_GB2312" w:hAnsi="仿宋_GB2312" w:eastAsia="仿宋_GB2312" w:cs="仿宋_GB2312"/>
          <w:color w:val="auto"/>
          <w:kern w:val="2"/>
          <w:sz w:val="32"/>
          <w:szCs w:val="32"/>
          <w:highlight w:val="none"/>
          <w:lang w:val="en-US" w:eastAsia="zh-CN" w:bidi="ar-SA"/>
        </w:rPr>
        <w:t>万元，占21.69%。具体情况如下：</w:t>
      </w:r>
    </w:p>
    <w:p w14:paraId="3613AC30">
      <w:pPr>
        <w:pageBreakBefore w:val="0"/>
        <w:kinsoku/>
        <w:wordWrap/>
        <w:overflowPunct/>
        <w:topLinePunct w:val="0"/>
        <w:bidi w:val="0"/>
        <w:spacing w:line="480" w:lineRule="exact"/>
      </w:pPr>
    </w:p>
    <w:p w14:paraId="7976B391">
      <w:pPr>
        <w:pageBreakBefore w:val="0"/>
        <w:kinsoku/>
        <w:wordWrap/>
        <w:overflowPunct/>
        <w:topLinePunct w:val="0"/>
        <w:bidi w:val="0"/>
        <w:spacing w:line="480" w:lineRule="exact"/>
      </w:pPr>
    </w:p>
    <w:p w14:paraId="76FC58F2">
      <w:pPr>
        <w:pageBreakBefore w:val="0"/>
        <w:kinsoku/>
        <w:wordWrap/>
        <w:overflowPunct/>
        <w:topLinePunct w:val="0"/>
        <w:bidi w:val="0"/>
        <w:spacing w:line="480" w:lineRule="exact"/>
      </w:pPr>
    </w:p>
    <w:p w14:paraId="54387950">
      <w:pPr>
        <w:pageBreakBefore w:val="0"/>
        <w:kinsoku/>
        <w:wordWrap/>
        <w:overflowPunct/>
        <w:topLinePunct w:val="0"/>
        <w:bidi w:val="0"/>
        <w:spacing w:line="480" w:lineRule="exact"/>
      </w:pPr>
    </w:p>
    <w:p w14:paraId="59FCF31A">
      <w:pPr>
        <w:pageBreakBefore w:val="0"/>
        <w:kinsoku/>
        <w:wordWrap/>
        <w:overflowPunct/>
        <w:topLinePunct w:val="0"/>
        <w:bidi w:val="0"/>
        <w:spacing w:line="480" w:lineRule="exact"/>
      </w:pPr>
    </w:p>
    <w:p w14:paraId="2B8C4497">
      <w:pPr>
        <w:pageBreakBefore w:val="0"/>
        <w:kinsoku/>
        <w:wordWrap/>
        <w:overflowPunct/>
        <w:topLinePunct w:val="0"/>
        <w:bidi w:val="0"/>
        <w:spacing w:line="480" w:lineRule="exact"/>
      </w:pPr>
    </w:p>
    <w:p w14:paraId="09B81485">
      <w:pPr>
        <w:pageBreakBefore w:val="0"/>
        <w:kinsoku/>
        <w:wordWrap/>
        <w:overflowPunct/>
        <w:topLinePunct w:val="0"/>
        <w:bidi w:val="0"/>
        <w:spacing w:line="480" w:lineRule="exact"/>
      </w:pPr>
    </w:p>
    <w:p w14:paraId="6F9C4B01">
      <w:pPr>
        <w:pageBreakBefore w:val="0"/>
        <w:kinsoku/>
        <w:wordWrap/>
        <w:overflowPunct/>
        <w:topLinePunct w:val="0"/>
        <w:bidi w:val="0"/>
        <w:spacing w:line="480" w:lineRule="exact"/>
      </w:pPr>
    </w:p>
    <w:p w14:paraId="21252C40">
      <w:pPr>
        <w:pageBreakBefore w:val="0"/>
        <w:kinsoku/>
        <w:wordWrap/>
        <w:overflowPunct/>
        <w:topLinePunct w:val="0"/>
        <w:bidi w:val="0"/>
        <w:spacing w:line="480" w:lineRule="exact"/>
        <w:rPr>
          <w:rFonts w:hint="eastAsia"/>
          <w:lang w:val="en-US" w:eastAsia="zh-CN"/>
        </w:rPr>
      </w:pPr>
      <w:r>
        <w:drawing>
          <wp:anchor distT="0" distB="0" distL="114300" distR="114300" simplePos="0" relativeHeight="251665408" behindDoc="0" locked="0" layoutInCell="1" allowOverlap="1">
            <wp:simplePos x="0" y="0"/>
            <wp:positionH relativeFrom="column">
              <wp:posOffset>4445</wp:posOffset>
            </wp:positionH>
            <wp:positionV relativeFrom="paragraph">
              <wp:posOffset>-2247265</wp:posOffset>
            </wp:positionV>
            <wp:extent cx="4493260" cy="2476500"/>
            <wp:effectExtent l="4445" t="4445" r="17145" b="14605"/>
            <wp:wrapSquare wrapText="bothSides"/>
            <wp:docPr id="9" name="图表 8" descr="7b0a202020202263686172745265734964223a20223230343732313936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anchor>
        </w:drawing>
      </w:r>
    </w:p>
    <w:p w14:paraId="0E129CEE">
      <w:pPr>
        <w:pageBreakBefore w:val="0"/>
        <w:kinsoku/>
        <w:wordWrap/>
        <w:overflowPunct/>
        <w:topLinePunct w:val="0"/>
        <w:bidi w:val="0"/>
        <w:spacing w:line="48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（图7：“三公”经费财政拨款支出结构）</w:t>
      </w:r>
    </w:p>
    <w:p w14:paraId="0B3F5887">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1.因公出国（境）经费支出</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万元，完成预算</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全年安排因公出国（境）团</w:t>
      </w:r>
      <w:r>
        <w:rPr>
          <w:rFonts w:hint="eastAsia" w:ascii="仿宋_GB2312" w:hAnsi="仿宋_GB2312" w:eastAsia="仿宋_GB2312" w:cs="仿宋_GB2312"/>
          <w:color w:val="auto"/>
          <w:kern w:val="2"/>
          <w:sz w:val="32"/>
          <w:szCs w:val="32"/>
          <w:highlight w:val="none"/>
          <w:lang w:val="en-US" w:eastAsia="zh-CN" w:bidi="ar-SA"/>
        </w:rPr>
        <w:t>组</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次，出国（境）</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w:t>
      </w:r>
      <w:r>
        <w:rPr>
          <w:rFonts w:hint="eastAsia" w:ascii="Times New Roman" w:hAnsi="Times New Roman" w:eastAsia="仿宋_GB2312" w:cs="仿宋_GB2312"/>
          <w:color w:val="auto"/>
          <w:kern w:val="2"/>
          <w:sz w:val="32"/>
          <w:szCs w:val="32"/>
          <w:highlight w:val="none"/>
          <w:lang w:val="en-US" w:eastAsia="zh-CN" w:bidi="ar-SA"/>
        </w:rPr>
        <w:t>。因公出国（境）支出决算比202</w:t>
      </w:r>
      <w:r>
        <w:rPr>
          <w:rFonts w:hint="eastAsia" w:eastAsia="仿宋_GB2312" w:cs="仿宋_GB2312"/>
          <w:color w:val="auto"/>
          <w:kern w:val="2"/>
          <w:sz w:val="32"/>
          <w:szCs w:val="32"/>
          <w:highlight w:val="none"/>
          <w:lang w:val="en-US" w:eastAsia="zh-CN" w:bidi="ar-SA"/>
        </w:rPr>
        <w:t>4</w:t>
      </w:r>
      <w:r>
        <w:rPr>
          <w:rFonts w:hint="eastAsia" w:ascii="Times New Roman" w:hAnsi="Times New Roman" w:eastAsia="仿宋_GB2312" w:cs="仿宋_GB2312"/>
          <w:color w:val="auto"/>
          <w:kern w:val="2"/>
          <w:sz w:val="32"/>
          <w:szCs w:val="32"/>
          <w:highlight w:val="none"/>
          <w:lang w:val="en-US" w:eastAsia="zh-CN" w:bidi="ar-SA"/>
        </w:rPr>
        <w:t>年</w:t>
      </w:r>
      <w:r>
        <w:rPr>
          <w:rFonts w:hint="eastAsia" w:eastAsia="仿宋_GB2312" w:cs="仿宋_GB2312"/>
          <w:color w:val="auto"/>
          <w:kern w:val="2"/>
          <w:sz w:val="32"/>
          <w:szCs w:val="32"/>
          <w:highlight w:val="none"/>
          <w:lang w:val="en-US" w:eastAsia="zh-CN" w:bidi="ar-SA"/>
        </w:rPr>
        <w:t>持平。</w:t>
      </w:r>
    </w:p>
    <w:p w14:paraId="650BF123">
      <w:pPr>
        <w:pageBreakBefore w:val="0"/>
        <w:kinsoku/>
        <w:wordWrap/>
        <w:overflowPunct/>
        <w:topLinePunct w:val="0"/>
        <w:bidi w:val="0"/>
        <w:spacing w:line="480" w:lineRule="exact"/>
        <w:ind w:firstLine="640"/>
        <w:rPr>
          <w:rFonts w:hint="eastAsia" w:ascii="仿宋_GB2312" w:eastAsia="仿宋_GB2312" w:cs="仿宋_GB2312"/>
          <w:color w:val="auto"/>
          <w:kern w:val="0"/>
          <w:sz w:val="32"/>
          <w:szCs w:val="32"/>
          <w:lang w:val="en-US" w:eastAsia="zh-CN"/>
        </w:rPr>
      </w:pPr>
      <w:r>
        <w:rPr>
          <w:rFonts w:hint="eastAsia" w:ascii="Times New Roman" w:hAnsi="Times New Roman" w:eastAsia="仿宋_GB2312" w:cs="仿宋_GB2312"/>
          <w:b/>
          <w:bCs/>
          <w:color w:val="auto"/>
          <w:kern w:val="2"/>
          <w:sz w:val="32"/>
          <w:szCs w:val="32"/>
          <w:highlight w:val="none"/>
          <w:lang w:val="en-US" w:eastAsia="zh-CN" w:bidi="ar-SA"/>
        </w:rPr>
        <w:t>2.公务用车购置及运行维护费支出</w:t>
      </w:r>
      <w:r>
        <w:rPr>
          <w:rFonts w:hint="eastAsia" w:ascii="仿宋_GB2312" w:hAnsi="仿宋_GB2312" w:eastAsia="仿宋_GB2312" w:cs="仿宋_GB2312"/>
          <w:b/>
          <w:bCs/>
          <w:color w:val="auto"/>
          <w:kern w:val="2"/>
          <w:sz w:val="32"/>
          <w:szCs w:val="32"/>
          <w:highlight w:val="none"/>
          <w:lang w:val="en-US" w:eastAsia="zh-CN" w:bidi="ar-SA"/>
        </w:rPr>
        <w:t>118.99万</w:t>
      </w:r>
      <w:r>
        <w:rPr>
          <w:rFonts w:hint="eastAsia" w:ascii="Times New Roman" w:hAnsi="Times New Roman" w:eastAsia="仿宋_GB2312" w:cs="仿宋_GB2312"/>
          <w:b/>
          <w:bCs/>
          <w:color w:val="auto"/>
          <w:kern w:val="2"/>
          <w:sz w:val="32"/>
          <w:szCs w:val="32"/>
          <w:highlight w:val="none"/>
          <w:lang w:val="en-US" w:eastAsia="zh-CN" w:bidi="ar-SA"/>
        </w:rPr>
        <w:t>元</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公务用车购置及运行维护费支出决算比2023年度减少</w:t>
      </w:r>
      <w:r>
        <w:rPr>
          <w:rFonts w:hint="eastAsia" w:eastAsia="仿宋_GB2312" w:cs="仿宋_GB2312"/>
          <w:color w:val="auto"/>
          <w:kern w:val="2"/>
          <w:sz w:val="32"/>
          <w:szCs w:val="32"/>
          <w:highlight w:val="none"/>
          <w:lang w:val="en-US" w:eastAsia="zh-CN" w:bidi="ar-SA"/>
        </w:rPr>
        <w:t>54.49</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45.79</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ascii="仿宋_GB2312" w:eastAsia="仿宋_GB2312" w:cs="仿宋_GB2312"/>
          <w:color w:val="auto"/>
          <w:kern w:val="0"/>
          <w:sz w:val="32"/>
          <w:szCs w:val="32"/>
          <w:lang w:val="en-US" w:eastAsia="zh-CN"/>
        </w:rPr>
        <w:t>本年度减少1辆公务用车购置费，增加1辆生产性用车购置。</w:t>
      </w:r>
    </w:p>
    <w:p w14:paraId="1FEAB781">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其中：公务用车购置支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color w:val="auto"/>
          <w:sz w:val="32"/>
          <w:szCs w:val="32"/>
        </w:rPr>
        <w:t>14.37</w:t>
      </w:r>
      <w:r>
        <w:rPr>
          <w:rFonts w:hint="eastAsia" w:ascii="Times New Roman" w:hAnsi="Times New Roman" w:eastAsia="仿宋_GB2312" w:cs="仿宋_GB2312"/>
          <w:color w:val="auto"/>
          <w:kern w:val="2"/>
          <w:sz w:val="32"/>
          <w:szCs w:val="32"/>
          <w:highlight w:val="none"/>
          <w:lang w:val="en-US" w:eastAsia="zh-CN" w:bidi="ar-SA"/>
        </w:rPr>
        <w:t>万元。全年按规定更新购置公务用车</w:t>
      </w: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万元，越野车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w:t>
      </w:r>
      <w:r>
        <w:rPr>
          <w:rFonts w:hint="eastAsia" w:eastAsia="仿宋_GB2312" w:cs="仿宋_GB2312"/>
          <w:color w:val="auto"/>
          <w:kern w:val="2"/>
          <w:sz w:val="32"/>
          <w:szCs w:val="32"/>
          <w:highlight w:val="none"/>
          <w:lang w:val="en-US" w:eastAsia="zh-CN" w:bidi="ar-SA"/>
        </w:rPr>
        <w:t>其他车1</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14.37</w:t>
      </w:r>
      <w:r>
        <w:rPr>
          <w:rFonts w:hint="eastAsia" w:ascii="Times New Roman" w:hAnsi="Times New Roman" w:eastAsia="仿宋_GB2312" w:cs="仿宋_GB2312"/>
          <w:color w:val="auto"/>
          <w:kern w:val="2"/>
          <w:sz w:val="32"/>
          <w:szCs w:val="32"/>
          <w:highlight w:val="none"/>
          <w:lang w:val="en-US" w:eastAsia="zh-CN" w:bidi="ar-SA"/>
        </w:rPr>
        <w:t>万元，主要用于</w:t>
      </w:r>
      <w:r>
        <w:rPr>
          <w:rFonts w:hint="eastAsia" w:eastAsia="仿宋_GB2312" w:cs="仿宋_GB2312"/>
          <w:color w:val="auto"/>
          <w:kern w:val="2"/>
          <w:sz w:val="32"/>
          <w:szCs w:val="32"/>
          <w:highlight w:val="none"/>
          <w:lang w:val="en-US" w:eastAsia="zh-CN" w:bidi="ar-SA"/>
        </w:rPr>
        <w:t>垃圾清运</w:t>
      </w:r>
      <w:r>
        <w:rPr>
          <w:rFonts w:hint="eastAsia" w:ascii="Times New Roman" w:hAnsi="Times New Roman" w:eastAsia="仿宋_GB2312" w:cs="仿宋_GB2312"/>
          <w:color w:val="auto"/>
          <w:kern w:val="2"/>
          <w:sz w:val="32"/>
          <w:szCs w:val="32"/>
          <w:highlight w:val="none"/>
          <w:lang w:val="en-US" w:eastAsia="zh-CN" w:bidi="ar-SA"/>
        </w:rPr>
        <w:t>。截至2024年12月31日，单位共有公务用车</w:t>
      </w:r>
      <w:r>
        <w:rPr>
          <w:rFonts w:hint="eastAsia" w:ascii="仿宋_GB2312" w:hAnsi="仿宋_GB2312" w:eastAsia="仿宋_GB2312" w:cs="仿宋_GB2312"/>
          <w:color w:val="auto"/>
          <w:sz w:val="32"/>
          <w:szCs w:val="32"/>
        </w:rPr>
        <w:t>17</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辆、越野车</w:t>
      </w:r>
      <w:r>
        <w:rPr>
          <w:rFonts w:hint="eastAsia" w:eastAsia="仿宋_GB2312" w:cs="仿宋_GB2312"/>
          <w:color w:val="auto"/>
          <w:kern w:val="2"/>
          <w:sz w:val="32"/>
          <w:szCs w:val="32"/>
          <w:highlight w:val="none"/>
          <w:lang w:val="en-US" w:eastAsia="zh-CN" w:bidi="ar-SA"/>
        </w:rPr>
        <w:t>5</w:t>
      </w:r>
      <w:r>
        <w:rPr>
          <w:rFonts w:hint="eastAsia" w:ascii="Times New Roman" w:hAnsi="Times New Roman" w:eastAsia="仿宋_GB2312" w:cs="仿宋_GB2312"/>
          <w:color w:val="auto"/>
          <w:kern w:val="2"/>
          <w:sz w:val="32"/>
          <w:szCs w:val="32"/>
          <w:highlight w:val="none"/>
          <w:lang w:val="en-US" w:eastAsia="zh-CN" w:bidi="ar-SA"/>
        </w:rPr>
        <w:t>辆、</w:t>
      </w:r>
      <w:r>
        <w:rPr>
          <w:rFonts w:hint="eastAsia" w:eastAsia="仿宋_GB2312" w:cs="仿宋_GB2312"/>
          <w:color w:val="auto"/>
          <w:kern w:val="2"/>
          <w:sz w:val="32"/>
          <w:szCs w:val="32"/>
          <w:highlight w:val="none"/>
          <w:lang w:val="en-US" w:eastAsia="zh-CN" w:bidi="ar-SA"/>
        </w:rPr>
        <w:t>其他车辆12</w:t>
      </w:r>
      <w:r>
        <w:rPr>
          <w:rFonts w:hint="eastAsia" w:ascii="Times New Roman" w:hAnsi="Times New Roman" w:eastAsia="仿宋_GB2312" w:cs="仿宋_GB2312"/>
          <w:color w:val="auto"/>
          <w:kern w:val="2"/>
          <w:sz w:val="32"/>
          <w:szCs w:val="32"/>
          <w:highlight w:val="none"/>
          <w:lang w:val="en-US" w:eastAsia="zh-CN" w:bidi="ar-SA"/>
        </w:rPr>
        <w:t>辆。</w:t>
      </w:r>
    </w:p>
    <w:p w14:paraId="6FF1828D">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公务用车运行维护费支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104.63</w:t>
      </w:r>
      <w:r>
        <w:rPr>
          <w:rFonts w:hint="eastAsia" w:ascii="Times New Roman" w:hAnsi="Times New Roman" w:eastAsia="仿宋_GB2312" w:cs="仿宋_GB2312"/>
          <w:color w:val="auto"/>
          <w:kern w:val="2"/>
          <w:sz w:val="32"/>
          <w:szCs w:val="32"/>
          <w:highlight w:val="none"/>
          <w:lang w:val="en-US" w:eastAsia="zh-CN" w:bidi="ar-SA"/>
        </w:rPr>
        <w:t>万元。主要用于</w:t>
      </w:r>
      <w:r>
        <w:rPr>
          <w:rFonts w:hint="eastAsia" w:eastAsia="仿宋_GB2312" w:cs="仿宋_GB2312"/>
          <w:color w:val="auto"/>
          <w:kern w:val="2"/>
          <w:sz w:val="32"/>
          <w:szCs w:val="32"/>
          <w:highlight w:val="none"/>
          <w:lang w:val="en-US" w:eastAsia="zh-CN" w:bidi="ar-SA"/>
        </w:rPr>
        <w:t>管理局在执行公务活动、营销活动等</w:t>
      </w:r>
      <w:r>
        <w:rPr>
          <w:rFonts w:hint="eastAsia" w:ascii="Times New Roman" w:hAnsi="Times New Roman" w:eastAsia="仿宋_GB2312" w:cs="仿宋_GB2312"/>
          <w:color w:val="auto"/>
          <w:kern w:val="2"/>
          <w:sz w:val="32"/>
          <w:szCs w:val="32"/>
          <w:highlight w:val="none"/>
          <w:lang w:val="en-US" w:eastAsia="zh-CN" w:bidi="ar-SA"/>
        </w:rPr>
        <w:t>所需的公务用车燃料费、维修费、过路过桥费、保险费等支出。</w:t>
      </w:r>
    </w:p>
    <w:p w14:paraId="17A44F0F">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3.公务接待费支出</w:t>
      </w:r>
      <w:r>
        <w:rPr>
          <w:rFonts w:hint="eastAsia" w:ascii="仿宋_GB2312" w:hAnsi="仿宋_GB2312" w:eastAsia="仿宋_GB2312" w:cs="仿宋_GB2312"/>
          <w:b/>
          <w:bCs/>
          <w:color w:val="auto"/>
          <w:kern w:val="2"/>
          <w:sz w:val="32"/>
          <w:szCs w:val="32"/>
          <w:highlight w:val="none"/>
          <w:lang w:val="en-US" w:eastAsia="zh-CN" w:bidi="ar-SA"/>
        </w:rPr>
        <w:t>32.96万</w:t>
      </w:r>
      <w:r>
        <w:rPr>
          <w:rFonts w:hint="eastAsia" w:ascii="Times New Roman" w:hAnsi="Times New Roman" w:eastAsia="仿宋_GB2312" w:cs="仿宋_GB2312"/>
          <w:b/>
          <w:bCs/>
          <w:color w:val="auto"/>
          <w:kern w:val="2"/>
          <w:sz w:val="32"/>
          <w:szCs w:val="32"/>
          <w:highlight w:val="none"/>
          <w:lang w:val="en-US" w:eastAsia="zh-CN" w:bidi="ar-SA"/>
        </w:rPr>
        <w:t>元，完成预算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公务接待费支出决算比2023年度减少</w:t>
      </w:r>
      <w:r>
        <w:rPr>
          <w:rFonts w:hint="eastAsia" w:eastAsia="仿宋_GB2312" w:cs="仿宋_GB2312"/>
          <w:color w:val="auto"/>
          <w:kern w:val="2"/>
          <w:sz w:val="32"/>
          <w:szCs w:val="32"/>
          <w:highlight w:val="none"/>
          <w:lang w:val="en-US" w:eastAsia="zh-CN" w:bidi="ar-SA"/>
        </w:rPr>
        <w:t>14.31</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43.42</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ascii="仿宋_GB2312" w:eastAsia="仿宋_GB2312" w:cs="仿宋_GB2312"/>
          <w:color w:val="000000"/>
          <w:kern w:val="0"/>
          <w:sz w:val="32"/>
          <w:szCs w:val="32"/>
          <w:lang w:val="en-US" w:eastAsia="zh-CN"/>
        </w:rPr>
        <w:t>本年度严格控制“三公”经费的支出</w:t>
      </w:r>
      <w:r>
        <w:rPr>
          <w:rFonts w:hint="eastAsia" w:ascii="Times New Roman" w:hAnsi="Times New Roman" w:eastAsia="仿宋_GB2312" w:cs="仿宋_GB2312"/>
          <w:color w:val="auto"/>
          <w:kern w:val="2"/>
          <w:sz w:val="32"/>
          <w:szCs w:val="32"/>
          <w:highlight w:val="none"/>
          <w:lang w:val="en-US" w:eastAsia="zh-CN" w:bidi="ar-SA"/>
        </w:rPr>
        <w:t>。其中：</w:t>
      </w:r>
    </w:p>
    <w:p w14:paraId="3AD81F07">
      <w:pPr>
        <w:pageBreakBefore w:val="0"/>
        <w:kinsoku/>
        <w:wordWrap/>
        <w:overflowPunct/>
        <w:topLinePunct w:val="0"/>
        <w:bidi w:val="0"/>
        <w:spacing w:line="48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国内公务接待支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32.96</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元，主要用于</w:t>
      </w:r>
      <w:r>
        <w:rPr>
          <w:rFonts w:hint="eastAsia" w:eastAsia="仿宋_GB2312" w:cs="仿宋_GB2312"/>
          <w:color w:val="auto"/>
          <w:kern w:val="2"/>
          <w:sz w:val="32"/>
          <w:szCs w:val="32"/>
          <w:highlight w:val="none"/>
          <w:lang w:val="en-US" w:eastAsia="zh-CN" w:bidi="ar-SA"/>
        </w:rPr>
        <w:t>与相关单位交流工作、开展业务合作、开展活动等发生的用餐费、住宿费等接待支出</w:t>
      </w:r>
      <w:r>
        <w:rPr>
          <w:rFonts w:hint="eastAsia" w:ascii="Times New Roman" w:hAnsi="Times New Roman" w:eastAsia="仿宋_GB2312" w:cs="仿宋_GB2312"/>
          <w:color w:val="auto"/>
          <w:kern w:val="2"/>
          <w:sz w:val="32"/>
          <w:szCs w:val="32"/>
          <w:highlight w:val="none"/>
          <w:lang w:val="en-US" w:eastAsia="zh-CN" w:bidi="ar-SA"/>
        </w:rPr>
        <w:t>。国内公务接</w:t>
      </w:r>
      <w:r>
        <w:rPr>
          <w:rFonts w:hint="eastAsia" w:ascii="仿宋_GB2312" w:hAnsi="仿宋_GB2312" w:eastAsia="仿宋_GB2312" w:cs="仿宋_GB2312"/>
          <w:color w:val="auto"/>
          <w:kern w:val="2"/>
          <w:sz w:val="32"/>
          <w:szCs w:val="32"/>
          <w:highlight w:val="none"/>
          <w:lang w:val="en-US" w:eastAsia="zh-CN" w:bidi="ar-SA"/>
        </w:rPr>
        <w:t>待</w:t>
      </w:r>
      <w:r>
        <w:rPr>
          <w:rFonts w:hint="eastAsia" w:ascii="仿宋_GB2312" w:hAnsi="仿宋_GB2312" w:eastAsia="仿宋_GB2312" w:cs="仿宋_GB2312"/>
          <w:sz w:val="32"/>
          <w:szCs w:val="32"/>
        </w:rPr>
        <w:t>186</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sz w:val="32"/>
          <w:szCs w:val="32"/>
        </w:rPr>
        <w:t>2334</w:t>
      </w:r>
      <w:r>
        <w:rPr>
          <w:rFonts w:hint="eastAsia" w:ascii="Times New Roman" w:hAnsi="Times New Roman" w:eastAsia="仿宋_GB2312" w:cs="仿宋_GB2312"/>
          <w:color w:val="auto"/>
          <w:kern w:val="2"/>
          <w:sz w:val="32"/>
          <w:szCs w:val="32"/>
          <w:highlight w:val="none"/>
          <w:lang w:val="en-US" w:eastAsia="zh-CN" w:bidi="ar-SA"/>
        </w:rPr>
        <w:t>人次（不包括陪同人员），共计支出</w:t>
      </w:r>
      <w:r>
        <w:rPr>
          <w:rFonts w:hint="eastAsia" w:eastAsia="仿宋_GB2312" w:cs="仿宋_GB2312"/>
          <w:color w:val="auto"/>
          <w:kern w:val="2"/>
          <w:sz w:val="32"/>
          <w:szCs w:val="32"/>
          <w:highlight w:val="none"/>
          <w:lang w:val="en-US" w:eastAsia="zh-CN" w:bidi="ar-SA"/>
        </w:rPr>
        <w:t>32.96</w:t>
      </w:r>
      <w:r>
        <w:rPr>
          <w:rFonts w:hint="eastAsia" w:ascii="Times New Roman" w:hAnsi="Times New Roman" w:eastAsia="仿宋_GB2312" w:cs="仿宋_GB2312"/>
          <w:color w:val="auto"/>
          <w:kern w:val="2"/>
          <w:sz w:val="32"/>
          <w:szCs w:val="32"/>
          <w:highlight w:val="none"/>
          <w:lang w:val="en-US" w:eastAsia="zh-CN" w:bidi="ar-SA"/>
        </w:rPr>
        <w:t>万元</w:t>
      </w:r>
      <w:r>
        <w:rPr>
          <w:rFonts w:hint="eastAsia" w:eastAsia="仿宋_GB2312" w:cs="仿宋_GB2312"/>
          <w:color w:val="auto"/>
          <w:kern w:val="2"/>
          <w:sz w:val="32"/>
          <w:szCs w:val="32"/>
          <w:highlight w:val="none"/>
          <w:lang w:val="en-US" w:eastAsia="zh-CN" w:bidi="ar-SA"/>
        </w:rPr>
        <w:t>。</w:t>
      </w:r>
    </w:p>
    <w:p w14:paraId="2DBB89B5">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外事接待支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万元。外事接待</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人次（不包括陪同人员），共计支出0万</w:t>
      </w:r>
      <w:r>
        <w:rPr>
          <w:rFonts w:hint="eastAsia" w:ascii="Times New Roman" w:hAnsi="Times New Roman" w:eastAsia="仿宋_GB2312" w:cs="仿宋_GB2312"/>
          <w:color w:val="auto"/>
          <w:kern w:val="2"/>
          <w:sz w:val="32"/>
          <w:szCs w:val="32"/>
          <w:highlight w:val="none"/>
          <w:lang w:val="en-US" w:eastAsia="zh-CN" w:bidi="ar-SA"/>
        </w:rPr>
        <w:t>元。</w:t>
      </w:r>
      <w:bookmarkStart w:id="40" w:name="_Toc15377218"/>
      <w:bookmarkStart w:id="41" w:name="_Toc15396610"/>
    </w:p>
    <w:p w14:paraId="5D4155C9">
      <w:pPr>
        <w:pageBreakBefore w:val="0"/>
        <w:kinsoku/>
        <w:wordWrap/>
        <w:overflowPunct/>
        <w:topLinePunct w:val="0"/>
        <w:bidi w:val="0"/>
        <w:spacing w:line="480" w:lineRule="exact"/>
        <w:ind w:firstLine="640"/>
        <w:outlineLvl w:val="1"/>
        <w:rPr>
          <w:rStyle w:val="18"/>
          <w:rFonts w:ascii="Times New Roman" w:hAnsi="Times New Roman" w:eastAsia="黑体"/>
          <w:color w:val="auto"/>
          <w:highlight w:val="none"/>
        </w:rPr>
      </w:pPr>
      <w:r>
        <w:rPr>
          <w:rFonts w:hint="eastAsia" w:ascii="Times New Roman" w:hAnsi="Times New Roman" w:eastAsia="黑体"/>
          <w:color w:val="auto"/>
          <w:sz w:val="32"/>
          <w:szCs w:val="32"/>
          <w:highlight w:val="none"/>
        </w:rPr>
        <w:t>八、</w:t>
      </w:r>
      <w:r>
        <w:rPr>
          <w:rStyle w:val="18"/>
          <w:rFonts w:hint="eastAsia" w:ascii="Times New Roman" w:hAnsi="Times New Roman" w:eastAsia="黑体"/>
          <w:b w:val="0"/>
          <w:color w:val="auto"/>
          <w:highlight w:val="none"/>
        </w:rPr>
        <w:t>政府性基金预算支出决算情况说明</w:t>
      </w:r>
      <w:bookmarkEnd w:id="40"/>
      <w:bookmarkEnd w:id="41"/>
    </w:p>
    <w:p w14:paraId="168F0877">
      <w:pPr>
        <w:pageBreakBefore w:val="0"/>
        <w:kinsoku/>
        <w:wordWrap/>
        <w:overflowPunct/>
        <w:topLinePunct w:val="0"/>
        <w:bidi w:val="0"/>
        <w:spacing w:line="480" w:lineRule="exact"/>
        <w:ind w:firstLine="640"/>
        <w:rPr>
          <w:rFonts w:hint="default"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2024年度政府性基金预算财政拨款支出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。与2023年度相比，政府性基金预算财政拨款支出</w:t>
      </w:r>
      <w:r>
        <w:rPr>
          <w:rFonts w:hint="eastAsia" w:eastAsia="仿宋_GB2312" w:cs="仿宋_GB2312"/>
          <w:color w:val="auto"/>
          <w:kern w:val="2"/>
          <w:sz w:val="32"/>
          <w:szCs w:val="32"/>
          <w:highlight w:val="none"/>
          <w:lang w:val="en-US" w:eastAsia="zh-CN" w:bidi="ar-SA"/>
        </w:rPr>
        <w:t>与上年持平。</w:t>
      </w:r>
    </w:p>
    <w:p w14:paraId="4710AC96">
      <w:pPr>
        <w:pageBreakBefore w:val="0"/>
        <w:numPr>
          <w:ilvl w:val="0"/>
          <w:numId w:val="0"/>
        </w:numPr>
        <w:kinsoku/>
        <w:wordWrap/>
        <w:overflowPunct/>
        <w:topLinePunct w:val="0"/>
        <w:bidi w:val="0"/>
        <w:spacing w:line="480" w:lineRule="exact"/>
        <w:ind w:left="630" w:leftChars="0"/>
        <w:outlineLvl w:val="1"/>
        <w:rPr>
          <w:rStyle w:val="18"/>
          <w:rFonts w:ascii="Times New Roman" w:hAnsi="Times New Roman" w:eastAsia="黑体"/>
          <w:b w:val="0"/>
          <w:color w:val="auto"/>
          <w:highlight w:val="none"/>
        </w:rPr>
      </w:pPr>
      <w:bookmarkStart w:id="42" w:name="_Toc15377219"/>
      <w:bookmarkStart w:id="43" w:name="_Toc15396611"/>
      <w:r>
        <w:rPr>
          <w:rStyle w:val="18"/>
          <w:rFonts w:hint="eastAsia" w:ascii="Times New Roman" w:hAnsi="Times New Roman" w:eastAsia="黑体"/>
          <w:b w:val="0"/>
          <w:color w:val="auto"/>
          <w:highlight w:val="none"/>
          <w:lang w:eastAsia="zh-CN"/>
        </w:rPr>
        <w:t>九、</w:t>
      </w:r>
      <w:r>
        <w:rPr>
          <w:rStyle w:val="18"/>
          <w:rFonts w:hint="eastAsia" w:ascii="Times New Roman" w:hAnsi="Times New Roman" w:eastAsia="黑体"/>
          <w:b w:val="0"/>
          <w:color w:val="auto"/>
          <w:highlight w:val="none"/>
        </w:rPr>
        <w:t>国有资本经营预算支出决算情况说明</w:t>
      </w:r>
      <w:bookmarkEnd w:id="42"/>
      <w:bookmarkEnd w:id="43"/>
    </w:p>
    <w:p w14:paraId="4F15DBAE">
      <w:pPr>
        <w:pageBreakBefore w:val="0"/>
        <w:kinsoku/>
        <w:wordWrap/>
        <w:overflowPunct/>
        <w:topLinePunct w:val="0"/>
        <w:bidi w:val="0"/>
        <w:spacing w:line="480" w:lineRule="exact"/>
        <w:ind w:firstLine="640"/>
        <w:rPr>
          <w:rFonts w:hint="default"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2024年度国有资本经营预算财政拨款支出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。与2023年度相比，国有资本经营预算财政拨款支出</w:t>
      </w:r>
      <w:r>
        <w:rPr>
          <w:rFonts w:hint="eastAsia" w:eastAsia="仿宋_GB2312" w:cs="仿宋_GB2312"/>
          <w:color w:val="auto"/>
          <w:kern w:val="2"/>
          <w:sz w:val="32"/>
          <w:szCs w:val="32"/>
          <w:highlight w:val="none"/>
          <w:lang w:val="en-US" w:eastAsia="zh-CN" w:bidi="ar-SA"/>
        </w:rPr>
        <w:t>与上年持平。</w:t>
      </w:r>
    </w:p>
    <w:p w14:paraId="2D13F3C2">
      <w:pPr>
        <w:pageBreakBefore w:val="0"/>
        <w:numPr>
          <w:ilvl w:val="0"/>
          <w:numId w:val="0"/>
        </w:numPr>
        <w:kinsoku/>
        <w:wordWrap/>
        <w:overflowPunct/>
        <w:topLinePunct w:val="0"/>
        <w:bidi w:val="0"/>
        <w:spacing w:line="480" w:lineRule="exact"/>
        <w:ind w:left="630" w:leftChars="0"/>
        <w:outlineLvl w:val="1"/>
        <w:rPr>
          <w:rStyle w:val="18"/>
          <w:rFonts w:hint="eastAsia" w:ascii="Times New Roman" w:hAnsi="Times New Roman" w:eastAsia="黑体"/>
          <w:b w:val="0"/>
          <w:color w:val="auto"/>
          <w:highlight w:val="none"/>
        </w:rPr>
      </w:pPr>
      <w:bookmarkStart w:id="44" w:name="_Toc15396612"/>
      <w:bookmarkStart w:id="45" w:name="_Toc15377221"/>
      <w:r>
        <w:rPr>
          <w:rStyle w:val="18"/>
          <w:rFonts w:hint="eastAsia" w:ascii="Times New Roman" w:hAnsi="Times New Roman" w:eastAsia="黑体"/>
          <w:b w:val="0"/>
          <w:color w:val="auto"/>
          <w:highlight w:val="none"/>
          <w:lang w:eastAsia="zh-CN"/>
        </w:rPr>
        <w:t>十、</w:t>
      </w:r>
      <w:r>
        <w:rPr>
          <w:rStyle w:val="18"/>
          <w:rFonts w:hint="eastAsia" w:ascii="Times New Roman" w:hAnsi="Times New Roman" w:eastAsia="黑体"/>
          <w:b w:val="0"/>
          <w:color w:val="auto"/>
          <w:highlight w:val="none"/>
        </w:rPr>
        <w:t>其他重要事项的情况说明</w:t>
      </w:r>
      <w:bookmarkEnd w:id="44"/>
      <w:bookmarkEnd w:id="45"/>
    </w:p>
    <w:p w14:paraId="48C06978">
      <w:pPr>
        <w:pageBreakBefore w:val="0"/>
        <w:kinsoku/>
        <w:wordWrap/>
        <w:overflowPunct/>
        <w:topLinePunct w:val="0"/>
        <w:bidi w:val="0"/>
        <w:spacing w:line="480" w:lineRule="exact"/>
        <w:ind w:firstLine="643" w:firstLineChars="200"/>
        <w:outlineLvl w:val="2"/>
        <w:rPr>
          <w:rFonts w:hint="eastAsia" w:ascii="Times New Roman" w:hAnsi="Times New Roman" w:eastAsia="楷体_GB2312" w:cs="楷体_GB2312"/>
          <w:b/>
          <w:color w:val="auto"/>
          <w:sz w:val="32"/>
          <w:szCs w:val="32"/>
          <w:highlight w:val="none"/>
        </w:rPr>
      </w:pPr>
      <w:bookmarkStart w:id="46" w:name="_Toc15377222"/>
      <w:r>
        <w:rPr>
          <w:rFonts w:hint="eastAsia" w:ascii="Times New Roman" w:hAnsi="Times New Roman" w:eastAsia="楷体_GB2312" w:cs="楷体_GB2312"/>
          <w:b/>
          <w:color w:val="auto"/>
          <w:sz w:val="32"/>
          <w:szCs w:val="32"/>
          <w:highlight w:val="none"/>
        </w:rPr>
        <w:t>（一）机关运行经费支出情况</w:t>
      </w:r>
      <w:bookmarkEnd w:id="46"/>
    </w:p>
    <w:p w14:paraId="67901314">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sz w:val="32"/>
          <w:szCs w:val="32"/>
        </w:rPr>
        <w:t>达古冰川风景名胜区管理局</w:t>
      </w:r>
      <w:r>
        <w:rPr>
          <w:rFonts w:hint="eastAsia" w:ascii="仿宋_GB2312" w:hAnsi="仿宋_GB2312" w:eastAsia="仿宋_GB2312" w:cs="仿宋_GB2312"/>
          <w:color w:val="auto"/>
          <w:kern w:val="2"/>
          <w:sz w:val="32"/>
          <w:szCs w:val="32"/>
          <w:highlight w:val="none"/>
          <w:lang w:val="en-US" w:eastAsia="zh-CN" w:bidi="ar-SA"/>
        </w:rPr>
        <w:t>机关运行经费支出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元，与2023年度决算数持平</w:t>
      </w:r>
      <w:r>
        <w:rPr>
          <w:rFonts w:hint="eastAsia" w:eastAsia="仿宋_GB2312" w:cs="仿宋_GB2312"/>
          <w:color w:val="auto"/>
          <w:kern w:val="2"/>
          <w:sz w:val="32"/>
          <w:szCs w:val="32"/>
          <w:highlight w:val="none"/>
          <w:lang w:val="en-US" w:eastAsia="zh-CN" w:bidi="ar-SA"/>
        </w:rPr>
        <w:t>。</w:t>
      </w:r>
    </w:p>
    <w:p w14:paraId="092F8DAC">
      <w:pPr>
        <w:pageBreakBefore w:val="0"/>
        <w:kinsoku/>
        <w:wordWrap/>
        <w:overflowPunct/>
        <w:topLinePunct w:val="0"/>
        <w:bidi w:val="0"/>
        <w:spacing w:line="480" w:lineRule="exact"/>
        <w:ind w:firstLine="643" w:firstLineChars="200"/>
        <w:outlineLvl w:val="2"/>
        <w:rPr>
          <w:rFonts w:hint="eastAsia" w:ascii="Times New Roman" w:hAnsi="Times New Roman" w:eastAsia="楷体_GB2312" w:cs="楷体_GB2312"/>
          <w:b/>
          <w:color w:val="auto"/>
          <w:sz w:val="32"/>
          <w:szCs w:val="32"/>
          <w:highlight w:val="none"/>
        </w:rPr>
      </w:pPr>
      <w:bookmarkStart w:id="47" w:name="_Toc15377223"/>
      <w:r>
        <w:rPr>
          <w:rFonts w:hint="eastAsia" w:ascii="Times New Roman" w:hAnsi="Times New Roman" w:eastAsia="楷体_GB2312" w:cs="楷体_GB2312"/>
          <w:b/>
          <w:color w:val="auto"/>
          <w:sz w:val="32"/>
          <w:szCs w:val="32"/>
          <w:highlight w:val="none"/>
        </w:rPr>
        <w:t>（二）政府采购支出情况</w:t>
      </w:r>
      <w:bookmarkEnd w:id="47"/>
    </w:p>
    <w:p w14:paraId="52691C47">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sz w:val="32"/>
          <w:szCs w:val="32"/>
        </w:rPr>
        <w:t>达古冰川风景名胜区管理局</w:t>
      </w:r>
      <w:r>
        <w:rPr>
          <w:rFonts w:hint="eastAsia" w:ascii="仿宋_GB2312" w:hAnsi="仿宋_GB2312" w:eastAsia="仿宋_GB2312" w:cs="仿宋_GB2312"/>
          <w:color w:val="auto"/>
          <w:kern w:val="2"/>
          <w:sz w:val="32"/>
          <w:szCs w:val="32"/>
          <w:highlight w:val="none"/>
          <w:lang w:val="en-US" w:eastAsia="zh-CN" w:bidi="ar-SA"/>
        </w:rPr>
        <w:t>政府采购支出总额</w:t>
      </w:r>
      <w:r>
        <w:rPr>
          <w:rFonts w:hint="eastAsia" w:ascii="仿宋_GB2312" w:hAnsi="仿宋_GB2312" w:eastAsia="仿宋_GB2312" w:cs="仿宋_GB2312"/>
          <w:sz w:val="32"/>
          <w:szCs w:val="32"/>
        </w:rPr>
        <w:t>275.51</w:t>
      </w:r>
      <w:r>
        <w:rPr>
          <w:rFonts w:hint="eastAsia" w:ascii="仿宋_GB2312" w:hAnsi="仿宋_GB2312" w:eastAsia="仿宋_GB2312" w:cs="仿宋_GB2312"/>
          <w:color w:val="auto"/>
          <w:kern w:val="2"/>
          <w:sz w:val="32"/>
          <w:szCs w:val="32"/>
          <w:highlight w:val="none"/>
          <w:lang w:val="en-US" w:eastAsia="zh-CN" w:bidi="ar-SA"/>
        </w:rPr>
        <w:t>万元，其中：政府采购货物支出</w:t>
      </w:r>
      <w:r>
        <w:rPr>
          <w:rFonts w:hint="eastAsia" w:ascii="仿宋_GB2312" w:hAnsi="仿宋_GB2312" w:eastAsia="仿宋_GB2312" w:cs="仿宋_GB2312"/>
          <w:sz w:val="32"/>
          <w:szCs w:val="32"/>
        </w:rPr>
        <w:t>18.46</w:t>
      </w:r>
      <w:r>
        <w:rPr>
          <w:rFonts w:hint="eastAsia" w:ascii="仿宋_GB2312" w:hAnsi="仿宋_GB2312" w:eastAsia="仿宋_GB2312" w:cs="仿宋_GB2312"/>
          <w:color w:val="auto"/>
          <w:kern w:val="2"/>
          <w:sz w:val="32"/>
          <w:szCs w:val="32"/>
          <w:highlight w:val="none"/>
          <w:lang w:val="en-US" w:eastAsia="zh-CN" w:bidi="ar-SA"/>
        </w:rPr>
        <w:t>万元、政府采购工程支出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万元、政府采购服务支出</w:t>
      </w:r>
      <w:r>
        <w:rPr>
          <w:rFonts w:hint="eastAsia" w:ascii="仿宋_GB2312" w:hAnsi="仿宋_GB2312" w:eastAsia="仿宋_GB2312" w:cs="仿宋_GB2312"/>
          <w:sz w:val="32"/>
          <w:szCs w:val="32"/>
        </w:rPr>
        <w:t>257.05</w:t>
      </w:r>
      <w:r>
        <w:rPr>
          <w:rFonts w:hint="eastAsia" w:ascii="仿宋_GB2312" w:hAnsi="仿宋_GB2312" w:eastAsia="仿宋_GB2312" w:cs="仿宋_GB2312"/>
          <w:color w:val="auto"/>
          <w:kern w:val="2"/>
          <w:sz w:val="32"/>
          <w:szCs w:val="32"/>
          <w:highlight w:val="none"/>
          <w:lang w:val="en-US" w:eastAsia="zh-CN" w:bidi="ar-SA"/>
        </w:rPr>
        <w:t>万元。主要用于2024年度旅游管理素质提升专题培训、办公耗材及办公用品采购、著名画家“画冰川”主题宣传活动及水环境及水循环过程研究项目等。授予中小企业合同金额</w:t>
      </w:r>
      <w:r>
        <w:rPr>
          <w:rFonts w:hint="eastAsia" w:ascii="仿宋_GB2312" w:hAnsi="仿宋_GB2312" w:eastAsia="仿宋_GB2312" w:cs="仿宋_GB2312"/>
          <w:sz w:val="32"/>
          <w:szCs w:val="32"/>
          <w:lang w:val="en-US" w:eastAsia="zh-CN"/>
        </w:rPr>
        <w:t>227.50</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lang w:val="en-US" w:eastAsia="zh-CN"/>
        </w:rPr>
        <w:t>82.57</w:t>
      </w:r>
      <w:r>
        <w:rPr>
          <w:rFonts w:hint="eastAsia" w:ascii="仿宋_GB2312" w:hAnsi="仿宋_GB2312" w:eastAsia="仿宋_GB2312" w:cs="仿宋_GB2312"/>
          <w:color w:val="auto"/>
          <w:kern w:val="2"/>
          <w:sz w:val="32"/>
          <w:szCs w:val="32"/>
          <w:highlight w:val="none"/>
          <w:lang w:val="en-US" w:eastAsia="zh-CN" w:bidi="ar-SA"/>
        </w:rPr>
        <w:t>%，其中：授予小微企业合同金额</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p>
    <w:p w14:paraId="39404522">
      <w:pPr>
        <w:pageBreakBefore w:val="0"/>
        <w:kinsoku/>
        <w:wordWrap/>
        <w:overflowPunct/>
        <w:topLinePunct w:val="0"/>
        <w:bidi w:val="0"/>
        <w:spacing w:line="480" w:lineRule="exact"/>
        <w:ind w:firstLine="643" w:firstLineChars="200"/>
        <w:outlineLvl w:val="2"/>
        <w:rPr>
          <w:rFonts w:hint="eastAsia" w:ascii="Times New Roman" w:hAnsi="Times New Roman" w:eastAsia="楷体_GB2312" w:cs="楷体_GB2312"/>
          <w:b/>
          <w:color w:val="auto"/>
          <w:sz w:val="32"/>
          <w:szCs w:val="32"/>
          <w:highlight w:val="none"/>
        </w:rPr>
      </w:pPr>
      <w:bookmarkStart w:id="48" w:name="_Toc15377224"/>
      <w:r>
        <w:rPr>
          <w:rFonts w:hint="eastAsia" w:ascii="Times New Roman" w:hAnsi="Times New Roman" w:eastAsia="楷体_GB2312" w:cs="楷体_GB2312"/>
          <w:b/>
          <w:color w:val="auto"/>
          <w:sz w:val="32"/>
          <w:szCs w:val="32"/>
          <w:highlight w:val="none"/>
        </w:rPr>
        <w:t>（三）国有资产占有使用情况</w:t>
      </w:r>
      <w:bookmarkEnd w:id="48"/>
    </w:p>
    <w:p w14:paraId="19EF062A">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截至2024年12月31日，</w:t>
      </w:r>
      <w:r>
        <w:rPr>
          <w:rFonts w:hint="eastAsia" w:ascii="仿宋_GB2312" w:hAnsi="仿宋_GB2312" w:eastAsia="仿宋_GB2312" w:cs="仿宋_GB2312"/>
          <w:sz w:val="32"/>
          <w:szCs w:val="32"/>
        </w:rPr>
        <w:t>达古冰川风景名胜区管理局</w:t>
      </w:r>
      <w:r>
        <w:rPr>
          <w:rFonts w:hint="eastAsia" w:ascii="仿宋_GB2312" w:hAnsi="仿宋_GB2312" w:eastAsia="仿宋_GB2312" w:cs="仿宋_GB2312"/>
          <w:color w:val="auto"/>
          <w:kern w:val="2"/>
          <w:sz w:val="32"/>
          <w:szCs w:val="32"/>
          <w:highlight w:val="none"/>
          <w:lang w:val="en-US" w:eastAsia="zh-CN" w:bidi="ar-SA"/>
        </w:rPr>
        <w:t>共有车辆</w:t>
      </w:r>
      <w:r>
        <w:rPr>
          <w:rFonts w:hint="eastAsia" w:ascii="仿宋_GB2312" w:hAnsi="仿宋_GB2312" w:eastAsia="仿宋_GB2312" w:cs="仿宋_GB2312"/>
          <w:sz w:val="32"/>
          <w:szCs w:val="32"/>
        </w:rPr>
        <w:t>17</w:t>
      </w:r>
      <w:r>
        <w:rPr>
          <w:rFonts w:hint="eastAsia" w:ascii="仿宋_GB2312" w:hAnsi="仿宋_GB2312" w:eastAsia="仿宋_GB2312" w:cs="仿宋_GB2312"/>
          <w:color w:val="auto"/>
          <w:kern w:val="2"/>
          <w:sz w:val="32"/>
          <w:szCs w:val="32"/>
          <w:highlight w:val="none"/>
          <w:lang w:val="en-US" w:eastAsia="zh-CN" w:bidi="ar-SA"/>
        </w:rPr>
        <w:t>辆，其中：主要负责人用车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辆、机要通信用车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辆、应急保障用车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辆、其他用车</w:t>
      </w:r>
      <w:r>
        <w:rPr>
          <w:rFonts w:hint="eastAsia" w:ascii="仿宋_GB2312" w:hAnsi="仿宋_GB2312" w:eastAsia="仿宋_GB2312" w:cs="仿宋_GB2312"/>
          <w:sz w:val="32"/>
          <w:szCs w:val="32"/>
        </w:rPr>
        <w:t>17</w:t>
      </w:r>
      <w:r>
        <w:rPr>
          <w:rFonts w:hint="eastAsia" w:ascii="仿宋_GB2312" w:hAnsi="仿宋_GB2312" w:eastAsia="仿宋_GB2312" w:cs="仿宋_GB2312"/>
          <w:color w:val="auto"/>
          <w:kern w:val="2"/>
          <w:sz w:val="32"/>
          <w:szCs w:val="32"/>
          <w:highlight w:val="none"/>
          <w:lang w:val="en-US" w:eastAsia="zh-CN" w:bidi="ar-SA"/>
        </w:rPr>
        <w:t>辆，其他用车主要是用于管理局执行公务活动、开展业务活动等。单价100万元（含）以上设备（不含车辆）</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台（套）</w:t>
      </w:r>
      <w:r>
        <w:rPr>
          <w:rFonts w:hint="eastAsia" w:ascii="Times New Roman" w:hAnsi="Times New Roman" w:eastAsia="仿宋_GB2312" w:cs="仿宋_GB2312"/>
          <w:color w:val="auto"/>
          <w:kern w:val="2"/>
          <w:sz w:val="32"/>
          <w:szCs w:val="32"/>
          <w:highlight w:val="none"/>
          <w:lang w:val="en-US" w:eastAsia="zh-CN" w:bidi="ar-SA"/>
        </w:rPr>
        <w:t>。</w:t>
      </w:r>
    </w:p>
    <w:p w14:paraId="694C3AC9">
      <w:pPr>
        <w:pageBreakBefore w:val="0"/>
        <w:kinsoku/>
        <w:wordWrap/>
        <w:overflowPunct/>
        <w:topLinePunct w:val="0"/>
        <w:bidi w:val="0"/>
        <w:spacing w:line="480" w:lineRule="exact"/>
        <w:ind w:firstLine="643" w:firstLineChars="200"/>
        <w:outlineLvl w:val="2"/>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（四）预算绩效管理情况</w:t>
      </w:r>
    </w:p>
    <w:p w14:paraId="1C887038">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根据预算绩效管理要求，</w:t>
      </w:r>
      <w:r>
        <w:rPr>
          <w:rFonts w:hint="eastAsia" w:eastAsia="仿宋_GB2312" w:cs="仿宋_GB2312"/>
          <w:color w:val="auto"/>
          <w:kern w:val="2"/>
          <w:sz w:val="32"/>
          <w:szCs w:val="32"/>
          <w:highlight w:val="none"/>
          <w:lang w:val="en-US" w:eastAsia="zh-CN" w:bidi="ar-SA"/>
        </w:rPr>
        <w:t>达古冰川管理局</w:t>
      </w:r>
      <w:r>
        <w:rPr>
          <w:rFonts w:hint="eastAsia" w:ascii="Times New Roman" w:hAnsi="Times New Roman" w:eastAsia="仿宋_GB2312" w:cs="仿宋_GB2312"/>
          <w:color w:val="auto"/>
          <w:kern w:val="2"/>
          <w:sz w:val="32"/>
          <w:szCs w:val="32"/>
          <w:highlight w:val="none"/>
          <w:lang w:val="en-US" w:eastAsia="zh-CN" w:bidi="ar-SA"/>
        </w:rPr>
        <w:t>在2024年度预算编制阶段，组织对</w:t>
      </w:r>
      <w:r>
        <w:rPr>
          <w:rFonts w:hint="eastAsia" w:eastAsia="仿宋_GB2312" w:cs="仿宋_GB2312"/>
          <w:color w:val="auto"/>
          <w:kern w:val="2"/>
          <w:sz w:val="32"/>
          <w:szCs w:val="32"/>
          <w:highlight w:val="none"/>
          <w:lang w:val="en-US" w:eastAsia="zh-CN" w:bidi="ar-SA"/>
        </w:rPr>
        <w:t>数字化指挥平台租赁费、劳务经费、景区绿化项目、三打古自然保护区生态保护恢复项目</w:t>
      </w:r>
      <w:r>
        <w:rPr>
          <w:rFonts w:hint="eastAsia" w:ascii="Times New Roman" w:hAnsi="Times New Roman" w:eastAsia="仿宋_GB2312" w:cs="仿宋_GB2312"/>
          <w:color w:val="auto"/>
          <w:kern w:val="2"/>
          <w:sz w:val="32"/>
          <w:szCs w:val="32"/>
          <w:highlight w:val="none"/>
          <w:lang w:val="en-US" w:eastAsia="zh-CN" w:bidi="ar-SA"/>
        </w:rPr>
        <w:t>等</w:t>
      </w:r>
      <w:r>
        <w:rPr>
          <w:rFonts w:hint="eastAsia" w:eastAsia="仿宋_GB2312" w:cs="仿宋_GB2312"/>
          <w:color w:val="auto"/>
          <w:kern w:val="2"/>
          <w:sz w:val="32"/>
          <w:szCs w:val="32"/>
          <w:highlight w:val="none"/>
          <w:lang w:val="en-US" w:eastAsia="zh-CN" w:bidi="ar-SA"/>
        </w:rPr>
        <w:t>42</w:t>
      </w:r>
      <w:r>
        <w:rPr>
          <w:rFonts w:hint="eastAsia" w:ascii="Times New Roman" w:hAnsi="Times New Roman" w:eastAsia="仿宋_GB2312" w:cs="仿宋_GB2312"/>
          <w:color w:val="auto"/>
          <w:kern w:val="2"/>
          <w:sz w:val="32"/>
          <w:szCs w:val="32"/>
          <w:highlight w:val="none"/>
          <w:lang w:val="en-US" w:eastAsia="zh-CN" w:bidi="ar-SA"/>
        </w:rPr>
        <w:t>个项目开展了预算事前绩效评估，对</w:t>
      </w:r>
      <w:r>
        <w:rPr>
          <w:rFonts w:hint="eastAsia" w:eastAsia="仿宋_GB2312" w:cs="仿宋_GB2312"/>
          <w:color w:val="auto"/>
          <w:kern w:val="2"/>
          <w:sz w:val="32"/>
          <w:szCs w:val="32"/>
          <w:highlight w:val="none"/>
          <w:lang w:val="en-US" w:eastAsia="zh-CN" w:bidi="ar-SA"/>
        </w:rPr>
        <w:t>42</w:t>
      </w:r>
      <w:r>
        <w:rPr>
          <w:rFonts w:hint="eastAsia" w:ascii="Times New Roman" w:hAnsi="Times New Roman" w:eastAsia="仿宋_GB2312" w:cs="仿宋_GB2312"/>
          <w:color w:val="auto"/>
          <w:kern w:val="2"/>
          <w:sz w:val="32"/>
          <w:szCs w:val="32"/>
          <w:highlight w:val="none"/>
          <w:lang w:val="en-US" w:eastAsia="zh-CN" w:bidi="ar-SA"/>
        </w:rPr>
        <w:t>个项目编制了绩效目标，预算执行过程中，选取</w:t>
      </w:r>
      <w:r>
        <w:rPr>
          <w:rFonts w:hint="eastAsia" w:eastAsia="仿宋_GB2312" w:cs="仿宋_GB2312"/>
          <w:color w:val="auto"/>
          <w:kern w:val="2"/>
          <w:sz w:val="32"/>
          <w:szCs w:val="32"/>
          <w:highlight w:val="none"/>
          <w:lang w:val="en-US" w:eastAsia="zh-CN" w:bidi="ar-SA"/>
        </w:rPr>
        <w:t>42</w:t>
      </w:r>
      <w:r>
        <w:rPr>
          <w:rFonts w:hint="eastAsia" w:ascii="Times New Roman" w:hAnsi="Times New Roman" w:eastAsia="仿宋_GB2312" w:cs="仿宋_GB2312"/>
          <w:color w:val="auto"/>
          <w:kern w:val="2"/>
          <w:sz w:val="32"/>
          <w:szCs w:val="32"/>
          <w:highlight w:val="none"/>
          <w:lang w:val="en-US" w:eastAsia="zh-CN" w:bidi="ar-SA"/>
        </w:rPr>
        <w:t>个项目开展绩效监控。</w:t>
      </w:r>
    </w:p>
    <w:p w14:paraId="68F54759">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组织对2024年度一般公共预算、政府性基金预算、国有资本经营预算、社会保险基金预算以及资本资产、债券资金等全面开展绩效自评，形成</w:t>
      </w:r>
      <w:r>
        <w:rPr>
          <w:rFonts w:hint="eastAsia" w:eastAsia="仿宋_GB2312" w:cs="仿宋_GB2312"/>
          <w:color w:val="auto"/>
          <w:kern w:val="2"/>
          <w:sz w:val="32"/>
          <w:szCs w:val="32"/>
          <w:highlight w:val="none"/>
          <w:lang w:val="en-US" w:eastAsia="zh-CN" w:bidi="ar-SA"/>
        </w:rPr>
        <w:t>2024年度</w:t>
      </w:r>
      <w:r>
        <w:rPr>
          <w:rFonts w:hint="eastAsia" w:ascii="Times New Roman" w:hAnsi="Times New Roman" w:eastAsia="仿宋_GB2312" w:cs="仿宋_GB2312"/>
          <w:color w:val="auto"/>
          <w:kern w:val="2"/>
          <w:sz w:val="32"/>
          <w:szCs w:val="32"/>
          <w:highlight w:val="none"/>
          <w:lang w:val="en-US" w:eastAsia="zh-CN" w:bidi="ar-SA"/>
        </w:rPr>
        <w:t>部门整体（含部门预算项目）绩效自评报告、</w:t>
      </w:r>
      <w:r>
        <w:rPr>
          <w:rFonts w:hint="eastAsia" w:eastAsia="仿宋_GB2312" w:cs="仿宋_GB2312"/>
          <w:color w:val="auto"/>
          <w:kern w:val="2"/>
          <w:sz w:val="32"/>
          <w:szCs w:val="32"/>
          <w:highlight w:val="none"/>
          <w:lang w:val="en-US" w:eastAsia="zh-CN" w:bidi="ar-SA"/>
        </w:rPr>
        <w:t>2023年第三批和第四批省级项目专项资金及阿坝州第八批院士（专家）工作站项目</w:t>
      </w:r>
      <w:r>
        <w:rPr>
          <w:rFonts w:hint="eastAsia" w:ascii="Times New Roman" w:hAnsi="Times New Roman" w:eastAsia="仿宋_GB2312" w:cs="仿宋_GB2312"/>
          <w:color w:val="auto"/>
          <w:kern w:val="2"/>
          <w:sz w:val="32"/>
          <w:szCs w:val="32"/>
          <w:highlight w:val="none"/>
          <w:lang w:val="en-US" w:eastAsia="zh-CN" w:bidi="ar-SA"/>
        </w:rPr>
        <w:t>等专项预算项目绩效自评报告，其中，</w:t>
      </w:r>
      <w:r>
        <w:rPr>
          <w:rFonts w:hint="eastAsia" w:eastAsia="仿宋_GB2312" w:cs="仿宋_GB2312"/>
          <w:color w:val="auto"/>
          <w:kern w:val="2"/>
          <w:sz w:val="32"/>
          <w:szCs w:val="32"/>
          <w:highlight w:val="none"/>
          <w:lang w:val="en-US" w:eastAsia="zh-CN" w:bidi="ar-SA"/>
        </w:rPr>
        <w:t>2024年度</w:t>
      </w:r>
      <w:r>
        <w:rPr>
          <w:rFonts w:hint="eastAsia" w:ascii="Times New Roman" w:hAnsi="Times New Roman" w:eastAsia="仿宋_GB2312" w:cs="仿宋_GB2312"/>
          <w:color w:val="auto"/>
          <w:kern w:val="2"/>
          <w:sz w:val="32"/>
          <w:szCs w:val="32"/>
          <w:highlight w:val="none"/>
          <w:lang w:val="en-US" w:eastAsia="zh-CN" w:bidi="ar-SA"/>
        </w:rPr>
        <w:t>部门整体（含部门预算项目）绩效自评得分为</w:t>
      </w:r>
      <w:r>
        <w:rPr>
          <w:rFonts w:hint="eastAsia" w:eastAsia="仿宋_GB2312" w:cs="仿宋_GB2312"/>
          <w:color w:val="auto"/>
          <w:kern w:val="2"/>
          <w:sz w:val="32"/>
          <w:szCs w:val="32"/>
          <w:highlight w:val="none"/>
          <w:lang w:val="en-US" w:eastAsia="zh-CN" w:bidi="ar-SA"/>
        </w:rPr>
        <w:t>90.28</w:t>
      </w:r>
      <w:r>
        <w:rPr>
          <w:rFonts w:hint="eastAsia" w:ascii="Times New Roman" w:hAnsi="Times New Roman" w:eastAsia="仿宋_GB2312" w:cs="仿宋_GB2312"/>
          <w:color w:val="auto"/>
          <w:kern w:val="2"/>
          <w:sz w:val="32"/>
          <w:szCs w:val="32"/>
          <w:highlight w:val="none"/>
          <w:lang w:val="en-US" w:eastAsia="zh-CN" w:bidi="ar-SA"/>
        </w:rPr>
        <w:t>分，绩效自评综述</w:t>
      </w:r>
      <w:r>
        <w:rPr>
          <w:rFonts w:hint="eastAsia" w:eastAsia="仿宋_GB2312" w:cs="仿宋_GB2312"/>
          <w:color w:val="auto"/>
          <w:kern w:val="2"/>
          <w:sz w:val="32"/>
          <w:szCs w:val="32"/>
          <w:highlight w:val="none"/>
          <w:lang w:val="en-US" w:eastAsia="zh-CN" w:bidi="ar-SA"/>
        </w:rPr>
        <w:t>2024年度，本单位切实履行了部门职责，部门预算管理、财务管理、资产管理和采购管理等规范有序，较好地完成了各项年度任务，部门预算支出使用效益达到预期，但本单位在年度预算项目绩效指标编制方面，其个别指标设置质量相对不高。</w:t>
      </w:r>
      <w:r>
        <w:rPr>
          <w:rFonts w:hint="eastAsia" w:ascii="Times New Roman" w:hAnsi="Times New Roman" w:eastAsia="仿宋_GB2312" w:cs="仿宋_GB2312"/>
          <w:color w:val="auto"/>
          <w:kern w:val="2"/>
          <w:sz w:val="32"/>
          <w:szCs w:val="32"/>
          <w:highlight w:val="none"/>
          <w:lang w:val="en-US" w:eastAsia="zh-CN" w:bidi="ar-SA"/>
        </w:rPr>
        <w:t>绩效自评报告详见附件。</w:t>
      </w:r>
    </w:p>
    <w:p w14:paraId="1A4D8830">
      <w:pPr>
        <w:pageBreakBefore w:val="0"/>
        <w:kinsoku/>
        <w:wordWrap/>
        <w:overflowPunct/>
        <w:topLinePunct w:val="0"/>
        <w:bidi w:val="0"/>
        <w:spacing w:line="48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7E4B55A7">
      <w:pPr>
        <w:pageBreakBefore w:val="0"/>
        <w:numPr>
          <w:ilvl w:val="0"/>
          <w:numId w:val="0"/>
        </w:numPr>
        <w:kinsoku/>
        <w:wordWrap/>
        <w:overflowPunct/>
        <w:topLinePunct w:val="0"/>
        <w:bidi w:val="0"/>
        <w:spacing w:line="480" w:lineRule="exact"/>
        <w:jc w:val="center"/>
        <w:outlineLvl w:val="0"/>
        <w:rPr>
          <w:rFonts w:hint="eastAsia" w:ascii="Times New Roman" w:hAnsi="Times New Roman" w:eastAsia="黑体"/>
          <w:color w:val="auto"/>
          <w:sz w:val="44"/>
          <w:szCs w:val="44"/>
          <w:highlight w:val="none"/>
        </w:rPr>
      </w:pPr>
      <w:bookmarkStart w:id="49" w:name="_Toc15396613"/>
      <w:bookmarkStart w:id="50" w:name="_Toc15377225"/>
      <w:r>
        <w:rPr>
          <w:rFonts w:hint="eastAsia" w:ascii="Times New Roman" w:hAnsi="Times New Roman" w:eastAsia="黑体"/>
          <w:color w:val="auto"/>
          <w:sz w:val="44"/>
          <w:szCs w:val="44"/>
          <w:highlight w:val="none"/>
        </w:rPr>
        <w:t>第</w:t>
      </w:r>
      <w:r>
        <w:rPr>
          <w:rFonts w:hint="eastAsia" w:eastAsia="黑体"/>
          <w:color w:val="auto"/>
          <w:sz w:val="44"/>
          <w:szCs w:val="44"/>
          <w:highlight w:val="none"/>
          <w:lang w:eastAsia="zh-CN"/>
        </w:rPr>
        <w:t>三</w:t>
      </w:r>
      <w:r>
        <w:rPr>
          <w:rFonts w:hint="eastAsia" w:ascii="Times New Roman" w:hAnsi="Times New Roman" w:eastAsia="黑体"/>
          <w:color w:val="auto"/>
          <w:sz w:val="44"/>
          <w:szCs w:val="44"/>
          <w:highlight w:val="none"/>
        </w:rPr>
        <w:t>部分</w:t>
      </w:r>
      <w:r>
        <w:rPr>
          <w:rFonts w:hint="eastAsia" w:ascii="Times New Roman" w:hAnsi="Times New Roman" w:eastAsia="黑体"/>
          <w:color w:val="auto"/>
          <w:sz w:val="44"/>
          <w:szCs w:val="44"/>
          <w:highlight w:val="none"/>
          <w:lang w:val="en-US" w:eastAsia="zh-CN"/>
        </w:rPr>
        <w:t xml:space="preserve"> </w:t>
      </w:r>
      <w:r>
        <w:rPr>
          <w:rFonts w:hint="eastAsia"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名词解释</w:t>
      </w:r>
      <w:bookmarkEnd w:id="49"/>
      <w:bookmarkEnd w:id="50"/>
    </w:p>
    <w:p w14:paraId="7794BA74">
      <w:pPr>
        <w:pageBreakBefore w:val="0"/>
        <w:kinsoku/>
        <w:wordWrap/>
        <w:overflowPunct/>
        <w:topLinePunct w:val="0"/>
        <w:bidi w:val="0"/>
        <w:spacing w:line="480" w:lineRule="exact"/>
        <w:jc w:val="left"/>
        <w:rPr>
          <w:rFonts w:ascii="Times New Roman" w:hAnsi="Times New Roman"/>
          <w:b/>
          <w:color w:val="auto"/>
          <w:sz w:val="44"/>
          <w:szCs w:val="44"/>
          <w:highlight w:val="none"/>
        </w:rPr>
      </w:pPr>
    </w:p>
    <w:p w14:paraId="7D26CAF0">
      <w:pPr>
        <w:pStyle w:val="20"/>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bookmarkStart w:id="51" w:name="_Toc15396614"/>
      <w:bookmarkStart w:id="52" w:name="_Toc15377226"/>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14:paraId="56AD048F">
      <w:pPr>
        <w:pStyle w:val="20"/>
        <w:keepNext w:val="0"/>
        <w:keepLines w:val="0"/>
        <w:pageBreakBefore w:val="0"/>
        <w:kinsoku/>
        <w:wordWrap/>
        <w:overflowPunct/>
        <w:topLinePunct w:val="0"/>
        <w:bidi w:val="0"/>
        <w:spacing w:line="480" w:lineRule="exact"/>
        <w:ind w:firstLine="640" w:firstLineChars="200"/>
        <w:textAlignment w:val="auto"/>
        <w:rPr>
          <w:rFonts w:hint="eastAsia"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w:t>
      </w:r>
    </w:p>
    <w:p w14:paraId="3A0D9598">
      <w:pPr>
        <w:pStyle w:val="20"/>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w:t>
      </w:r>
    </w:p>
    <w:p w14:paraId="1EC56C87">
      <w:pPr>
        <w:pStyle w:val="20"/>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w:t>
      </w:r>
    </w:p>
    <w:p w14:paraId="695D08CE">
      <w:pPr>
        <w:pStyle w:val="20"/>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14:paraId="76FC53E6">
      <w:pPr>
        <w:pStyle w:val="20"/>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14:paraId="29C94A12">
      <w:pPr>
        <w:pStyle w:val="20"/>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结余分配：指事业单位按照会计制度规定缴纳的所得税、提取的专用结余以及转入非财政拨款结余的金额等。</w:t>
      </w:r>
    </w:p>
    <w:p w14:paraId="528FA1CC">
      <w:pPr>
        <w:pStyle w:val="20"/>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14:paraId="1D50A1FB">
      <w:pPr>
        <w:keepNext w:val="0"/>
        <w:keepLines w:val="0"/>
        <w:pageBreakBefore w:val="0"/>
        <w:widowControl w:val="0"/>
        <w:kinsoku/>
        <w:wordWrap/>
        <w:overflowPunct/>
        <w:topLinePunct w:val="0"/>
        <w:bidi w:val="0"/>
        <w:snapToGrid/>
        <w:spacing w:line="48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9.</w:t>
      </w:r>
      <w:r>
        <w:rPr>
          <w:rFonts w:hint="eastAsia" w:ascii="仿宋" w:hAnsi="仿宋" w:eastAsia="仿宋" w:cs="仿宋"/>
          <w:color w:val="000000"/>
          <w:sz w:val="32"/>
          <w:szCs w:val="32"/>
          <w:lang w:eastAsia="zh-CN"/>
        </w:rPr>
        <w:t>机关事业单位基本养老保险缴费支出</w:t>
      </w:r>
      <w:r>
        <w:rPr>
          <w:rFonts w:hint="eastAsia" w:ascii="仿宋" w:hAnsi="仿宋" w:eastAsia="仿宋" w:cs="仿宋"/>
          <w:color w:val="000000"/>
          <w:sz w:val="32"/>
          <w:szCs w:val="32"/>
        </w:rPr>
        <w:t>：指</w:t>
      </w:r>
      <w:r>
        <w:rPr>
          <w:rFonts w:hint="eastAsia" w:ascii="仿宋" w:hAnsi="仿宋" w:eastAsia="仿宋" w:cs="仿宋"/>
          <w:color w:val="000000"/>
          <w:sz w:val="32"/>
          <w:szCs w:val="32"/>
          <w:lang w:eastAsia="zh-CN"/>
        </w:rPr>
        <w:t>机关事业单位实施养老保险制度由单位缴纳的基本养老保险费支出</w:t>
      </w:r>
      <w:r>
        <w:rPr>
          <w:rFonts w:hint="eastAsia" w:ascii="仿宋" w:hAnsi="仿宋" w:eastAsia="仿宋" w:cs="仿宋"/>
          <w:color w:val="000000"/>
          <w:sz w:val="32"/>
          <w:szCs w:val="32"/>
        </w:rPr>
        <w:t>。</w:t>
      </w:r>
    </w:p>
    <w:p w14:paraId="7810AA3D">
      <w:pPr>
        <w:keepNext w:val="0"/>
        <w:keepLines w:val="0"/>
        <w:pageBreakBefore w:val="0"/>
        <w:widowControl w:val="0"/>
        <w:kinsoku/>
        <w:wordWrap/>
        <w:overflowPunct/>
        <w:topLinePunct w:val="0"/>
        <w:bidi w:val="0"/>
        <w:snapToGrid/>
        <w:spacing w:line="48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10.</w:t>
      </w:r>
      <w:r>
        <w:rPr>
          <w:rFonts w:hint="eastAsia" w:ascii="仿宋" w:hAnsi="仿宋" w:eastAsia="仿宋" w:cs="仿宋"/>
          <w:color w:val="000000"/>
          <w:sz w:val="32"/>
          <w:szCs w:val="32"/>
          <w:lang w:val="en-US" w:eastAsia="zh-CN"/>
        </w:rPr>
        <w:t>机关事业单位职业年金缴费支出：指机关事业单位实施养老保险制度由单位实际缴纳的职业年金支出。</w:t>
      </w:r>
    </w:p>
    <w:p w14:paraId="6E2FEA02">
      <w:pPr>
        <w:keepNext w:val="0"/>
        <w:keepLines w:val="0"/>
        <w:pageBreakBefore w:val="0"/>
        <w:widowControl w:val="0"/>
        <w:kinsoku/>
        <w:wordWrap/>
        <w:overflowPunct/>
        <w:topLinePunct w:val="0"/>
        <w:bidi w:val="0"/>
        <w:snapToGrid/>
        <w:spacing w:line="480" w:lineRule="exact"/>
        <w:ind w:firstLine="640" w:firstLineChars="200"/>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11.</w:t>
      </w:r>
      <w:r>
        <w:rPr>
          <w:rFonts w:hint="eastAsia" w:ascii="仿宋" w:hAnsi="仿宋" w:eastAsia="仿宋" w:cs="仿宋"/>
          <w:color w:val="000000"/>
          <w:sz w:val="32"/>
          <w:szCs w:val="32"/>
          <w:lang w:val="en-US" w:eastAsia="zh-CN"/>
        </w:rPr>
        <w:t>住房公积金：指行政事业单位按人力资源和社会保障部、财政部规定的基本工资和津贴补贴以及规定比例为职工缴纳的住房公积金。</w:t>
      </w:r>
    </w:p>
    <w:p w14:paraId="4F49606B">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12</w:t>
      </w:r>
      <w:r>
        <w:rPr>
          <w:rFonts w:hint="eastAsia" w:ascii="仿宋" w:hAnsi="仿宋" w:eastAsia="仿宋" w:cs="仿宋"/>
          <w:color w:val="000000"/>
          <w:sz w:val="32"/>
          <w:szCs w:val="32"/>
        </w:rPr>
        <w:t>.基本支出：指为保障机构正常运转、完成日常工作任务而发生的人员支出和公用支出。</w:t>
      </w:r>
    </w:p>
    <w:p w14:paraId="314C2D7A">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13</w:t>
      </w:r>
      <w:r>
        <w:rPr>
          <w:rFonts w:hint="eastAsia" w:ascii="仿宋" w:hAnsi="仿宋" w:eastAsia="仿宋" w:cs="仿宋"/>
          <w:color w:val="000000"/>
          <w:sz w:val="32"/>
          <w:szCs w:val="32"/>
        </w:rPr>
        <w:t xml:space="preserve">.项目支出：指在基本支出之外为完成特定行政任务和事业发展目标所发生的支出。 </w:t>
      </w:r>
    </w:p>
    <w:p w14:paraId="38A83755">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14</w:t>
      </w:r>
      <w:r>
        <w:rPr>
          <w:rFonts w:hint="eastAsia" w:ascii="仿宋" w:hAnsi="仿宋" w:eastAsia="仿宋" w:cs="仿宋"/>
          <w:color w:val="000000"/>
          <w:sz w:val="32"/>
          <w:szCs w:val="32"/>
        </w:rPr>
        <w:t>.经营支出：指事业单位在专业业务活动及其辅助活动之外开展非独立核算经营活动发生的支出。</w:t>
      </w:r>
    </w:p>
    <w:p w14:paraId="570CDDAE">
      <w:pPr>
        <w:pStyle w:val="20"/>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15</w:t>
      </w:r>
      <w:r>
        <w:rPr>
          <w:rFonts w:hint="eastAsia" w:ascii="仿宋" w:hAnsi="仿宋" w:eastAsia="仿宋" w:cs="仿宋"/>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26D307AC">
      <w:pPr>
        <w:pStyle w:val="20"/>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16</w:t>
      </w:r>
      <w:r>
        <w:rPr>
          <w:rFonts w:hint="eastAsia" w:ascii="仿宋" w:hAnsi="仿宋" w:eastAsia="仿宋" w:cs="仿宋"/>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485B599">
      <w:pPr>
        <w:pageBreakBefore w:val="0"/>
        <w:kinsoku/>
        <w:wordWrap/>
        <w:overflowPunct/>
        <w:topLinePunct w:val="0"/>
        <w:bidi w:val="0"/>
        <w:spacing w:line="480" w:lineRule="exact"/>
        <w:ind w:firstLine="640" w:firstLineChars="200"/>
        <w:jc w:val="left"/>
        <w:rPr>
          <w:rStyle w:val="15"/>
          <w:rFonts w:hint="eastAsia" w:ascii="仿宋" w:hAnsi="仿宋" w:eastAsia="仿宋" w:cs="仿宋"/>
          <w:b w:val="0"/>
          <w:bCs w:val="0"/>
          <w:color w:val="000000"/>
          <w:sz w:val="32"/>
          <w:szCs w:val="32"/>
          <w:lang w:val="en-US" w:eastAsia="zh-CN"/>
        </w:rPr>
      </w:pPr>
      <w:r>
        <w:rPr>
          <w:rStyle w:val="15"/>
          <w:rFonts w:hint="eastAsia" w:ascii="仿宋" w:hAnsi="仿宋" w:eastAsia="仿宋" w:cs="仿宋"/>
          <w:b w:val="0"/>
          <w:bCs w:val="0"/>
          <w:color w:val="000000"/>
          <w:sz w:val="32"/>
          <w:szCs w:val="32"/>
          <w:lang w:val="en-US" w:eastAsia="zh-CN"/>
        </w:rPr>
        <w:t>17.</w:t>
      </w:r>
      <w:r>
        <w:rPr>
          <w:rStyle w:val="15"/>
          <w:rFonts w:hint="eastAsia" w:ascii="仿宋" w:hAnsi="仿宋" w:eastAsia="仿宋" w:cs="仿宋"/>
          <w:b w:val="0"/>
          <w:bCs w:val="0"/>
          <w:color w:val="000000"/>
          <w:sz w:val="32"/>
          <w:szCs w:val="32"/>
          <w:lang w:eastAsia="zh-CN"/>
        </w:rPr>
        <w:t>其他旅游业管理与服务支出</w:t>
      </w:r>
      <w:r>
        <w:rPr>
          <w:rStyle w:val="15"/>
          <w:rFonts w:hint="eastAsia" w:ascii="仿宋" w:hAnsi="仿宋" w:eastAsia="仿宋" w:cs="仿宋"/>
          <w:b w:val="0"/>
          <w:bCs w:val="0"/>
          <w:color w:val="000000"/>
          <w:sz w:val="32"/>
          <w:szCs w:val="32"/>
          <w:lang w:val="en-US" w:eastAsia="zh-CN"/>
        </w:rPr>
        <w:t>：指除上述项目以外其他用于旅游业管理与服务方面的支出。</w:t>
      </w:r>
    </w:p>
    <w:p w14:paraId="1ABC6482">
      <w:pPr>
        <w:pageBreakBefore w:val="0"/>
        <w:kinsoku/>
        <w:wordWrap/>
        <w:overflowPunct/>
        <w:topLinePunct w:val="0"/>
        <w:bidi w:val="0"/>
        <w:spacing w:line="480" w:lineRule="exact"/>
        <w:jc w:val="center"/>
        <w:rPr>
          <w:rFonts w:hint="eastAsia" w:ascii="Times New Roman" w:hAnsi="Times New Roman" w:eastAsia="黑体"/>
          <w:color w:val="auto"/>
          <w:sz w:val="44"/>
          <w:szCs w:val="44"/>
          <w:highlight w:val="none"/>
        </w:rPr>
      </w:pPr>
    </w:p>
    <w:p w14:paraId="68FDA710">
      <w:pPr>
        <w:pageBreakBefore w:val="0"/>
        <w:kinsoku/>
        <w:wordWrap/>
        <w:overflowPunct/>
        <w:topLinePunct w:val="0"/>
        <w:bidi w:val="0"/>
        <w:spacing w:line="480" w:lineRule="exact"/>
        <w:jc w:val="center"/>
        <w:rPr>
          <w:rFonts w:hint="eastAsia" w:ascii="Times New Roman" w:hAnsi="Times New Roman" w:eastAsia="黑体"/>
          <w:color w:val="auto"/>
          <w:sz w:val="44"/>
          <w:szCs w:val="44"/>
          <w:highlight w:val="none"/>
        </w:rPr>
      </w:pPr>
    </w:p>
    <w:p w14:paraId="4350392D">
      <w:pPr>
        <w:pageBreakBefore w:val="0"/>
        <w:kinsoku/>
        <w:wordWrap/>
        <w:overflowPunct/>
        <w:topLinePunct w:val="0"/>
        <w:bidi w:val="0"/>
        <w:spacing w:line="480" w:lineRule="exact"/>
        <w:jc w:val="center"/>
        <w:rPr>
          <w:rFonts w:hint="eastAsia" w:ascii="Times New Roman" w:hAnsi="Times New Roman" w:eastAsia="黑体"/>
          <w:color w:val="auto"/>
          <w:sz w:val="44"/>
          <w:szCs w:val="44"/>
          <w:highlight w:val="none"/>
        </w:rPr>
      </w:pPr>
    </w:p>
    <w:p w14:paraId="32D77110">
      <w:pPr>
        <w:pageBreakBefore w:val="0"/>
        <w:kinsoku/>
        <w:wordWrap/>
        <w:overflowPunct/>
        <w:topLinePunct w:val="0"/>
        <w:bidi w:val="0"/>
        <w:spacing w:line="480" w:lineRule="exact"/>
        <w:jc w:val="center"/>
        <w:rPr>
          <w:rFonts w:hint="eastAsia" w:ascii="Times New Roman" w:hAnsi="Times New Roman" w:eastAsia="黑体"/>
          <w:color w:val="auto"/>
          <w:sz w:val="44"/>
          <w:szCs w:val="44"/>
          <w:highlight w:val="none"/>
        </w:rPr>
      </w:pPr>
    </w:p>
    <w:p w14:paraId="432EA45F">
      <w:pPr>
        <w:pageBreakBefore w:val="0"/>
        <w:kinsoku/>
        <w:wordWrap/>
        <w:overflowPunct/>
        <w:topLinePunct w:val="0"/>
        <w:bidi w:val="0"/>
        <w:spacing w:line="480" w:lineRule="exact"/>
        <w:jc w:val="center"/>
        <w:rPr>
          <w:rFonts w:hint="eastAsia" w:ascii="Times New Roman" w:hAnsi="Times New Roman" w:eastAsia="黑体"/>
          <w:color w:val="auto"/>
          <w:sz w:val="44"/>
          <w:szCs w:val="44"/>
          <w:highlight w:val="none"/>
        </w:rPr>
      </w:pPr>
    </w:p>
    <w:p w14:paraId="07EFF57B">
      <w:pPr>
        <w:pageBreakBefore w:val="0"/>
        <w:kinsoku/>
        <w:wordWrap/>
        <w:overflowPunct/>
        <w:topLinePunct w:val="0"/>
        <w:bidi w:val="0"/>
        <w:spacing w:line="480" w:lineRule="exact"/>
        <w:jc w:val="center"/>
        <w:rPr>
          <w:rFonts w:hint="eastAsia" w:ascii="Times New Roman" w:hAnsi="Times New Roman" w:eastAsia="黑体"/>
          <w:color w:val="auto"/>
          <w:sz w:val="44"/>
          <w:szCs w:val="44"/>
          <w:highlight w:val="none"/>
        </w:rPr>
      </w:pPr>
    </w:p>
    <w:p w14:paraId="1AF95615">
      <w:pPr>
        <w:pageBreakBefore w:val="0"/>
        <w:kinsoku/>
        <w:wordWrap/>
        <w:overflowPunct/>
        <w:topLinePunct w:val="0"/>
        <w:bidi w:val="0"/>
        <w:spacing w:line="480" w:lineRule="exact"/>
        <w:jc w:val="center"/>
        <w:rPr>
          <w:rFonts w:hint="eastAsia" w:ascii="Times New Roman" w:hAnsi="Times New Roman" w:eastAsia="黑体"/>
          <w:color w:val="auto"/>
          <w:sz w:val="44"/>
          <w:szCs w:val="44"/>
          <w:highlight w:val="none"/>
        </w:rPr>
      </w:pPr>
    </w:p>
    <w:p w14:paraId="183F9F7C">
      <w:pPr>
        <w:pageBreakBefore w:val="0"/>
        <w:kinsoku/>
        <w:wordWrap/>
        <w:overflowPunct/>
        <w:topLinePunct w:val="0"/>
        <w:bidi w:val="0"/>
        <w:spacing w:line="480" w:lineRule="exact"/>
        <w:jc w:val="center"/>
        <w:rPr>
          <w:rFonts w:hint="eastAsia" w:ascii="Times New Roman" w:hAnsi="Times New Roman" w:eastAsia="黑体"/>
          <w:color w:val="auto"/>
          <w:sz w:val="44"/>
          <w:szCs w:val="44"/>
          <w:highlight w:val="none"/>
        </w:rPr>
      </w:pPr>
    </w:p>
    <w:p w14:paraId="63917277">
      <w:pPr>
        <w:pageBreakBefore w:val="0"/>
        <w:kinsoku/>
        <w:wordWrap/>
        <w:overflowPunct/>
        <w:topLinePunct w:val="0"/>
        <w:bidi w:val="0"/>
        <w:spacing w:line="480" w:lineRule="exact"/>
        <w:jc w:val="both"/>
        <w:rPr>
          <w:rFonts w:hint="eastAsia" w:ascii="Times New Roman" w:hAnsi="Times New Roman" w:eastAsia="黑体"/>
          <w:color w:val="auto"/>
          <w:sz w:val="44"/>
          <w:szCs w:val="44"/>
          <w:highlight w:val="none"/>
        </w:rPr>
      </w:pPr>
    </w:p>
    <w:p w14:paraId="131604A7">
      <w:pPr>
        <w:pageBreakBefore w:val="0"/>
        <w:kinsoku/>
        <w:wordWrap/>
        <w:overflowPunct/>
        <w:topLinePunct w:val="0"/>
        <w:bidi w:val="0"/>
        <w:spacing w:line="480" w:lineRule="exact"/>
        <w:jc w:val="center"/>
        <w:rPr>
          <w:rStyle w:val="17"/>
          <w:rFonts w:hint="eastAsia" w:ascii="Times New Roman" w:hAnsi="Times New Roman" w:eastAsia="黑体"/>
          <w:b w:val="0"/>
          <w:color w:val="auto"/>
          <w:highlight w:val="none"/>
          <w:lang w:eastAsia="zh-CN"/>
        </w:rPr>
      </w:pPr>
      <w:r>
        <w:rPr>
          <w:rFonts w:hint="eastAsia" w:ascii="Times New Roman" w:hAnsi="Times New Roman" w:eastAsia="黑体"/>
          <w:color w:val="auto"/>
          <w:sz w:val="44"/>
          <w:szCs w:val="44"/>
          <w:highlight w:val="none"/>
        </w:rPr>
        <w:t>第四部分</w:t>
      </w:r>
      <w:r>
        <w:rPr>
          <w:rFonts w:hint="eastAsia" w:ascii="Times New Roman" w:hAnsi="Times New Roman"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 xml:space="preserve"> 附件</w:t>
      </w:r>
      <w:bookmarkEnd w:id="51"/>
    </w:p>
    <w:p w14:paraId="4E4B73AC">
      <w:pPr>
        <w:keepNext w:val="0"/>
        <w:keepLines w:val="0"/>
        <w:pageBreakBefore w:val="0"/>
        <w:kinsoku/>
        <w:wordWrap/>
        <w:overflowPunct/>
        <w:topLinePunct w:val="0"/>
        <w:autoSpaceDE/>
        <w:autoSpaceDN/>
        <w:bidi w:val="0"/>
        <w:spacing w:line="480" w:lineRule="exact"/>
        <w:jc w:val="left"/>
        <w:textAlignment w:val="auto"/>
        <w:outlineLvl w:val="0"/>
        <w:rPr>
          <w:rFonts w:hint="eastAsia" w:ascii="Times New Roman" w:hAnsi="Times New Roman" w:eastAsia="黑体" w:cs="黑体"/>
          <w:color w:val="FF0000"/>
          <w:sz w:val="32"/>
          <w:szCs w:val="32"/>
          <w:highlight w:val="none"/>
        </w:rPr>
      </w:pPr>
    </w:p>
    <w:p w14:paraId="5F343564">
      <w:pPr>
        <w:keepNext w:val="0"/>
        <w:keepLines w:val="0"/>
        <w:pageBreakBefore w:val="0"/>
        <w:kinsoku/>
        <w:wordWrap/>
        <w:overflowPunct/>
        <w:topLinePunct w:val="0"/>
        <w:autoSpaceDE/>
        <w:autoSpaceDN/>
        <w:bidi w:val="0"/>
        <w:spacing w:line="480" w:lineRule="exact"/>
        <w:jc w:val="left"/>
        <w:textAlignment w:val="auto"/>
        <w:outlineLvl w:val="0"/>
        <w:rPr>
          <w:rFonts w:hint="default" w:ascii="Times New Roman" w:hAnsi="Times New Roman" w:eastAsia="方正小标宋简体" w:cs="Times New Roman"/>
          <w:b w:val="0"/>
          <w:bCs/>
          <w:sz w:val="44"/>
          <w:szCs w:val="44"/>
          <w:highlight w:val="none"/>
          <w:shd w:val="clear" w:color="auto" w:fill="FFFFFF"/>
        </w:rPr>
      </w:pPr>
      <w:r>
        <w:rPr>
          <w:rFonts w:hint="eastAsia" w:ascii="Times New Roman" w:hAnsi="Times New Roman" w:eastAsia="黑体" w:cs="黑体"/>
          <w:color w:val="auto"/>
          <w:sz w:val="32"/>
          <w:szCs w:val="32"/>
          <w:highlight w:val="none"/>
        </w:rPr>
        <w:t>附件</w:t>
      </w:r>
      <w:r>
        <w:rPr>
          <w:rFonts w:hint="eastAsia" w:ascii="Times New Roman" w:hAnsi="Times New Roman" w:eastAsia="黑体" w:cs="黑体"/>
          <w:color w:val="auto"/>
          <w:sz w:val="32"/>
          <w:szCs w:val="32"/>
          <w:highlight w:val="none"/>
          <w:lang w:val="en-US" w:eastAsia="zh-CN"/>
        </w:rPr>
        <w:t>1</w:t>
      </w:r>
    </w:p>
    <w:p w14:paraId="645E480E">
      <w:pPr>
        <w:keepNext w:val="0"/>
        <w:keepLines w:val="0"/>
        <w:pageBreakBefore w:val="0"/>
        <w:widowControl/>
        <w:kinsoku/>
        <w:wordWrap/>
        <w:overflowPunct/>
        <w:topLinePunct w:val="0"/>
        <w:autoSpaceDE/>
        <w:autoSpaceDN/>
        <w:bidi w:val="0"/>
        <w:adjustRightInd/>
        <w:snapToGrid/>
        <w:spacing w:line="480" w:lineRule="exact"/>
        <w:ind w:firstLine="0" w:firstLineChars="0"/>
        <w:contextualSpacing/>
        <w:jc w:val="center"/>
        <w:textAlignment w:val="auto"/>
        <w:outlineLvl w:val="9"/>
        <w:rPr>
          <w:rFonts w:hint="eastAsia" w:ascii="Times New Roman" w:hAnsi="Times New Roman" w:eastAsia="方正小标宋_GBK" w:cs="方正小标宋_GBK"/>
          <w:b w:val="0"/>
          <w:bCs/>
          <w:caps w:val="0"/>
          <w:color w:val="auto"/>
          <w:sz w:val="44"/>
          <w:szCs w:val="44"/>
          <w:highlight w:val="none"/>
          <w:shd w:val="clear" w:color="auto" w:fill="FFFFFF"/>
          <w:lang w:val="en-US" w:eastAsia="zh-CN"/>
        </w:rPr>
      </w:pPr>
      <w:bookmarkStart w:id="53" w:name="_Hlk110546638"/>
      <w:r>
        <w:rPr>
          <w:rFonts w:hint="eastAsia" w:ascii="Times New Roman" w:hAnsi="Times New Roman" w:eastAsia="方正小标宋_GBK" w:cs="方正小标宋_GBK"/>
          <w:b w:val="0"/>
          <w:bCs/>
          <w:caps w:val="0"/>
          <w:color w:val="auto"/>
          <w:sz w:val="44"/>
          <w:szCs w:val="44"/>
          <w:highlight w:val="none"/>
          <w:shd w:val="clear" w:color="auto" w:fill="FFFFFF"/>
          <w:lang w:val="en-US" w:eastAsia="zh-CN"/>
        </w:rPr>
        <w:t>达古冰川风景名胜区管理局</w:t>
      </w:r>
    </w:p>
    <w:p w14:paraId="141A64E3">
      <w:pPr>
        <w:keepNext w:val="0"/>
        <w:keepLines w:val="0"/>
        <w:pageBreakBefore w:val="0"/>
        <w:widowControl/>
        <w:kinsoku/>
        <w:wordWrap/>
        <w:overflowPunct/>
        <w:topLinePunct w:val="0"/>
        <w:autoSpaceDE/>
        <w:autoSpaceDN/>
        <w:bidi w:val="0"/>
        <w:adjustRightInd/>
        <w:snapToGrid/>
        <w:spacing w:line="480" w:lineRule="exact"/>
        <w:ind w:firstLine="0" w:firstLineChars="0"/>
        <w:contextualSpacing/>
        <w:jc w:val="center"/>
        <w:textAlignment w:val="auto"/>
        <w:outlineLvl w:val="9"/>
        <w:rPr>
          <w:rFonts w:hint="eastAsia" w:ascii="Times New Roman" w:hAnsi="Times New Roman" w:eastAsia="方正小标宋_GBK" w:cs="方正小标宋_GBK"/>
          <w:b w:val="0"/>
          <w:bCs/>
          <w:caps w:val="0"/>
          <w:color w:val="auto"/>
          <w:sz w:val="44"/>
          <w:szCs w:val="44"/>
          <w:highlight w:val="none"/>
          <w:shd w:val="clear" w:color="auto" w:fill="FFFFFF"/>
        </w:rPr>
      </w:pPr>
      <w:r>
        <w:rPr>
          <w:rFonts w:hint="eastAsia" w:ascii="Times New Roman" w:hAnsi="Times New Roman" w:eastAsia="方正小标宋_GBK" w:cs="方正小标宋_GBK"/>
          <w:b w:val="0"/>
          <w:bCs/>
          <w:caps w:val="0"/>
          <w:color w:val="auto"/>
          <w:sz w:val="44"/>
          <w:szCs w:val="44"/>
          <w:highlight w:val="none"/>
          <w:shd w:val="clear" w:color="auto" w:fill="FFFFFF"/>
          <w:lang w:val="en-US" w:eastAsia="zh-CN"/>
        </w:rPr>
        <w:t>2024年度</w:t>
      </w:r>
      <w:r>
        <w:rPr>
          <w:rFonts w:hint="eastAsia" w:ascii="Times New Roman" w:hAnsi="Times New Roman" w:eastAsia="方正小标宋_GBK" w:cs="方正小标宋_GBK"/>
          <w:b w:val="0"/>
          <w:bCs/>
          <w:caps w:val="0"/>
          <w:color w:val="auto"/>
          <w:sz w:val="44"/>
          <w:szCs w:val="44"/>
          <w:highlight w:val="none"/>
          <w:shd w:val="clear" w:color="auto" w:fill="FFFFFF"/>
          <w:lang w:eastAsia="zh-CN"/>
        </w:rPr>
        <w:t>部</w:t>
      </w:r>
      <w:r>
        <w:rPr>
          <w:rFonts w:hint="eastAsia" w:ascii="Times New Roman" w:hAnsi="Times New Roman" w:eastAsia="方正小标宋_GBK" w:cs="方正小标宋_GBK"/>
          <w:b w:val="0"/>
          <w:bCs/>
          <w:caps w:val="0"/>
          <w:color w:val="auto"/>
          <w:sz w:val="44"/>
          <w:szCs w:val="44"/>
          <w:highlight w:val="none"/>
          <w:shd w:val="clear" w:color="auto" w:fill="FFFFFF"/>
        </w:rPr>
        <w:t>门</w:t>
      </w:r>
      <w:r>
        <w:rPr>
          <w:rFonts w:hint="eastAsia" w:ascii="Times New Roman" w:hAnsi="Times New Roman" w:eastAsia="方正小标宋_GBK" w:cs="方正小标宋_GBK"/>
          <w:b w:val="0"/>
          <w:bCs/>
          <w:caps w:val="0"/>
          <w:color w:val="auto"/>
          <w:sz w:val="44"/>
          <w:szCs w:val="44"/>
          <w:highlight w:val="none"/>
          <w:shd w:val="clear" w:color="auto" w:fill="FFFFFF"/>
          <w:lang w:eastAsia="zh-CN"/>
        </w:rPr>
        <w:t>预算</w:t>
      </w:r>
      <w:r>
        <w:rPr>
          <w:rFonts w:hint="eastAsia" w:ascii="Times New Roman" w:hAnsi="Times New Roman" w:eastAsia="方正小标宋_GBK" w:cs="方正小标宋_GBK"/>
          <w:b w:val="0"/>
          <w:bCs/>
          <w:caps w:val="0"/>
          <w:color w:val="auto"/>
          <w:sz w:val="44"/>
          <w:szCs w:val="44"/>
          <w:highlight w:val="none"/>
          <w:shd w:val="clear" w:color="auto" w:fill="FFFFFF"/>
        </w:rPr>
        <w:t>绩效</w:t>
      </w:r>
      <w:r>
        <w:rPr>
          <w:rFonts w:hint="eastAsia" w:ascii="Times New Roman" w:hAnsi="Times New Roman" w:eastAsia="方正小标宋_GBK" w:cs="方正小标宋_GBK"/>
          <w:b w:val="0"/>
          <w:bCs/>
          <w:caps w:val="0"/>
          <w:color w:val="auto"/>
          <w:sz w:val="44"/>
          <w:szCs w:val="44"/>
          <w:highlight w:val="none"/>
          <w:shd w:val="clear" w:color="auto" w:fill="FFFFFF"/>
          <w:lang w:eastAsia="zh-CN"/>
        </w:rPr>
        <w:t>自评</w:t>
      </w:r>
      <w:r>
        <w:rPr>
          <w:rFonts w:hint="eastAsia" w:ascii="Times New Roman" w:hAnsi="Times New Roman" w:eastAsia="方正小标宋_GBK" w:cs="方正小标宋_GBK"/>
          <w:b w:val="0"/>
          <w:bCs/>
          <w:caps w:val="0"/>
          <w:color w:val="auto"/>
          <w:sz w:val="44"/>
          <w:szCs w:val="44"/>
          <w:highlight w:val="none"/>
          <w:shd w:val="clear" w:color="auto" w:fill="FFFFFF"/>
        </w:rPr>
        <w:t>报告</w:t>
      </w:r>
    </w:p>
    <w:p w14:paraId="4F911484">
      <w:pPr>
        <w:keepNext w:val="0"/>
        <w:keepLines w:val="0"/>
        <w:pageBreakBefore w:val="0"/>
        <w:widowControl/>
        <w:kinsoku/>
        <w:wordWrap/>
        <w:overflowPunct/>
        <w:topLinePunct w:val="0"/>
        <w:autoSpaceDE/>
        <w:autoSpaceDN/>
        <w:bidi w:val="0"/>
        <w:adjustRightInd w:val="0"/>
        <w:snapToGrid w:val="0"/>
        <w:spacing w:line="480" w:lineRule="exact"/>
        <w:ind w:left="0" w:leftChars="0" w:firstLine="0" w:firstLineChars="0"/>
        <w:contextualSpacing/>
        <w:jc w:val="both"/>
        <w:textAlignment w:val="auto"/>
        <w:outlineLvl w:val="9"/>
        <w:rPr>
          <w:rFonts w:hint="eastAsia" w:ascii="Times New Roman" w:hAnsi="Times New Roman" w:cs="Times New Roman"/>
          <w:color w:val="auto"/>
          <w:szCs w:val="32"/>
          <w:highlight w:val="none"/>
          <w:lang w:val="en-US" w:eastAsia="zh-CN"/>
        </w:rPr>
      </w:pPr>
    </w:p>
    <w:p w14:paraId="4A230B88">
      <w:pPr>
        <w:keepNext w:val="0"/>
        <w:keepLines w:val="0"/>
        <w:pageBreakBefore w:val="0"/>
        <w:widowControl/>
        <w:suppressLineNumbers w:val="0"/>
        <w:kinsoku/>
        <w:wordWrap/>
        <w:overflowPunct/>
        <w:topLinePunct w:val="0"/>
        <w:autoSpaceDE/>
        <w:autoSpaceDN/>
        <w:bidi w:val="0"/>
        <w:spacing w:line="480" w:lineRule="exact"/>
        <w:jc w:val="left"/>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阿坝州财政局:</w:t>
      </w:r>
    </w:p>
    <w:p w14:paraId="56DADD00">
      <w:pPr>
        <w:keepNext w:val="0"/>
        <w:keepLines w:val="0"/>
        <w:pageBreakBefore w:val="0"/>
        <w:widowControl/>
        <w:suppressLineNumbers w:val="0"/>
        <w:kinsoku/>
        <w:wordWrap/>
        <w:overflowPunct/>
        <w:topLinePunct w:val="0"/>
        <w:autoSpaceDE/>
        <w:autoSpaceDN/>
        <w:bidi w:val="0"/>
        <w:spacing w:line="480" w:lineRule="exact"/>
        <w:ind w:firstLine="640" w:firstLineChars="200"/>
        <w:jc w:val="left"/>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按照《阿坝州财政局关于开展2025年州级部门预算绩效自评工作的通知》（阿州财监绩〔2025〕4号），现将我局2024年度部门预算绩效情况报告如下：</w:t>
      </w:r>
    </w:p>
    <w:p w14:paraId="55009160">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zh-CN" w:eastAsia="zh-CN" w:bidi="ar-SA"/>
        </w:rPr>
        <w:t>一、部门（单位）基本情况</w:t>
      </w:r>
    </w:p>
    <w:p w14:paraId="2CF34489">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zh-CN" w:eastAsia="zh-CN" w:bidi="ar-SA"/>
        </w:rPr>
        <w:t>（一）</w:t>
      </w:r>
      <w:r>
        <w:rPr>
          <w:rFonts w:hint="default" w:ascii="黑体" w:hAnsi="黑体" w:eastAsia="黑体" w:cs="黑体"/>
          <w:b w:val="0"/>
          <w:bCs w:val="0"/>
          <w:color w:val="000000"/>
          <w:kern w:val="0"/>
          <w:sz w:val="32"/>
          <w:szCs w:val="32"/>
          <w:lang w:val="zh-CN" w:eastAsia="zh-CN" w:bidi="ar-SA"/>
        </w:rPr>
        <w:t>机构组成</w:t>
      </w:r>
    </w:p>
    <w:p w14:paraId="7769C87E">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both"/>
        <w:textAlignment w:val="auto"/>
        <w:outlineLvl w:val="1"/>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达古冰川风景名胜区管理局（以下简称“本单位”）属一级预算单位，无下属二级预算单位，内设16个处室（十一处三室一队一中心），具体为办公室、组织人事处、财务处、保护处、游人管理处、营销处、规划建设处、保卫处、消防队、接待处、纪检监察室、法规处、科研处、信息中心、国家地质公园管理处、工青妇办公室。</w:t>
      </w:r>
    </w:p>
    <w:p w14:paraId="6D76F2FF">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zh-CN" w:eastAsia="zh-CN" w:bidi="ar-SA"/>
        </w:rPr>
        <w:t>（</w:t>
      </w:r>
      <w:r>
        <w:rPr>
          <w:rFonts w:hint="eastAsia" w:ascii="黑体" w:hAnsi="黑体" w:eastAsia="黑体" w:cs="黑体"/>
          <w:b w:val="0"/>
          <w:bCs w:val="0"/>
          <w:color w:val="000000"/>
          <w:kern w:val="0"/>
          <w:sz w:val="32"/>
          <w:szCs w:val="32"/>
          <w:lang w:val="en-US" w:eastAsia="zh-CN" w:bidi="ar-SA"/>
        </w:rPr>
        <w:t>二）</w:t>
      </w:r>
      <w:r>
        <w:rPr>
          <w:rFonts w:hint="default" w:ascii="黑体" w:hAnsi="黑体" w:eastAsia="黑体" w:cs="黑体"/>
          <w:b w:val="0"/>
          <w:bCs w:val="0"/>
          <w:color w:val="000000"/>
          <w:kern w:val="0"/>
          <w:sz w:val="32"/>
          <w:szCs w:val="32"/>
          <w:lang w:val="zh-CN" w:eastAsia="zh-CN" w:bidi="ar-SA"/>
        </w:rPr>
        <w:t>机构职能</w:t>
      </w:r>
    </w:p>
    <w:p w14:paraId="1B98CDDA">
      <w:pPr>
        <w:pageBreakBefore w:val="0"/>
        <w:numPr>
          <w:ilvl w:val="0"/>
          <w:numId w:val="0"/>
        </w:numPr>
        <w:kinsoku/>
        <w:wordWrap/>
        <w:overflowPunct/>
        <w:topLinePunct w:val="0"/>
        <w:autoSpaceDE/>
        <w:autoSpaceDN/>
        <w:bidi w:val="0"/>
        <w:spacing w:line="480" w:lineRule="exact"/>
        <w:ind w:firstLine="640" w:firstLineChars="200"/>
        <w:outlineLvl w:val="9"/>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本单位主要承担以下职责和功能：</w:t>
      </w:r>
    </w:p>
    <w:p w14:paraId="5078FFB6">
      <w:pPr>
        <w:pageBreakBefore w:val="0"/>
        <w:numPr>
          <w:ilvl w:val="0"/>
          <w:numId w:val="0"/>
        </w:numPr>
        <w:kinsoku/>
        <w:wordWrap/>
        <w:overflowPunct/>
        <w:topLinePunct w:val="0"/>
        <w:autoSpaceDE/>
        <w:autoSpaceDN/>
        <w:bidi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1.宣传贯彻国家有关自然保护区、风景名胜区管理的法律法规和方针政策。</w:t>
      </w:r>
    </w:p>
    <w:p w14:paraId="750290F6">
      <w:pPr>
        <w:pageBreakBefore w:val="0"/>
        <w:numPr>
          <w:ilvl w:val="0"/>
          <w:numId w:val="0"/>
        </w:numPr>
        <w:kinsoku/>
        <w:wordWrap/>
        <w:overflowPunct/>
        <w:topLinePunct w:val="0"/>
        <w:autoSpaceDE/>
        <w:autoSpaceDN/>
        <w:bidi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2.制定自然保护区的各项规章制度，组织实施自然保护区建设保护规则，统一管理自然保护区。</w:t>
      </w:r>
    </w:p>
    <w:p w14:paraId="674872B7">
      <w:pPr>
        <w:pageBreakBefore w:val="0"/>
        <w:numPr>
          <w:ilvl w:val="0"/>
          <w:numId w:val="0"/>
        </w:numPr>
        <w:kinsoku/>
        <w:wordWrap/>
        <w:overflowPunct/>
        <w:topLinePunct w:val="0"/>
        <w:autoSpaceDE/>
        <w:autoSpaceDN/>
        <w:bidi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3.调查自然保护区建立档案，组织环境监测，定期报告保护区环境质量状况。</w:t>
      </w:r>
    </w:p>
    <w:p w14:paraId="60720A28">
      <w:pPr>
        <w:pageBreakBefore w:val="0"/>
        <w:numPr>
          <w:ilvl w:val="0"/>
          <w:numId w:val="0"/>
        </w:numPr>
        <w:kinsoku/>
        <w:wordWrap/>
        <w:overflowPunct/>
        <w:topLinePunct w:val="0"/>
        <w:autoSpaceDE/>
        <w:autoSpaceDN/>
        <w:bidi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4.负责自然保护区界标的设置和管理。</w:t>
      </w:r>
    </w:p>
    <w:p w14:paraId="5673D431">
      <w:pPr>
        <w:pageBreakBefore w:val="0"/>
        <w:numPr>
          <w:ilvl w:val="0"/>
          <w:numId w:val="0"/>
        </w:numPr>
        <w:kinsoku/>
        <w:wordWrap/>
        <w:overflowPunct/>
        <w:topLinePunct w:val="0"/>
        <w:autoSpaceDE/>
        <w:autoSpaceDN/>
        <w:bidi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5.保护风景名胜区资源和生态环境，维护风景名胜区的自然风貌和人文景观，开发利用风景名胜区旅游资源。</w:t>
      </w:r>
    </w:p>
    <w:p w14:paraId="1E13B8E3">
      <w:pPr>
        <w:pageBreakBefore w:val="0"/>
        <w:numPr>
          <w:ilvl w:val="0"/>
          <w:numId w:val="0"/>
        </w:numPr>
        <w:kinsoku/>
        <w:wordWrap/>
        <w:overflowPunct/>
        <w:topLinePunct w:val="0"/>
        <w:autoSpaceDE/>
        <w:autoSpaceDN/>
        <w:bidi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6.协助编制总体规划和详细规划并组织实施，按照总体规划对风景名胜区的建设项目进行审核和监督监察。</w:t>
      </w:r>
    </w:p>
    <w:p w14:paraId="47A20C3C">
      <w:pPr>
        <w:pageBreakBefore w:val="0"/>
        <w:numPr>
          <w:ilvl w:val="0"/>
          <w:numId w:val="0"/>
        </w:numPr>
        <w:kinsoku/>
        <w:wordWrap/>
        <w:overflowPunct/>
        <w:topLinePunct w:val="0"/>
        <w:autoSpaceDE/>
        <w:autoSpaceDN/>
        <w:bidi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7.负责基础设施和公共设施的建设和管理。</w:t>
      </w:r>
    </w:p>
    <w:p w14:paraId="76C88421">
      <w:pPr>
        <w:pageBreakBefore w:val="0"/>
        <w:numPr>
          <w:ilvl w:val="0"/>
          <w:numId w:val="0"/>
        </w:numPr>
        <w:kinsoku/>
        <w:wordWrap/>
        <w:overflowPunct/>
        <w:topLinePunct w:val="0"/>
        <w:autoSpaceDE/>
        <w:autoSpaceDN/>
        <w:bidi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8.制定风景名胜区制度，负责风景名胜区的游人安全、环境卫生和服务业管理。</w:t>
      </w:r>
    </w:p>
    <w:p w14:paraId="2445DABB">
      <w:pPr>
        <w:pageBreakBefore w:val="0"/>
        <w:numPr>
          <w:ilvl w:val="0"/>
          <w:numId w:val="0"/>
        </w:numPr>
        <w:kinsoku/>
        <w:wordWrap/>
        <w:overflowPunct/>
        <w:topLinePunct w:val="0"/>
        <w:autoSpaceDE/>
        <w:autoSpaceDN/>
        <w:bidi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9.根据《自然保护区管理条例》和《风景名胜区管理条例》的规定，协助行政执法对保护区和景区内的森林资源、林地、国土资源、水资源依法管理。</w:t>
      </w:r>
    </w:p>
    <w:p w14:paraId="0E0857AC">
      <w:pPr>
        <w:pageBreakBefore w:val="0"/>
        <w:kinsoku/>
        <w:wordWrap/>
        <w:overflowPunct/>
        <w:topLinePunct w:val="0"/>
        <w:autoSpaceDE/>
        <w:autoSpaceDN/>
        <w:bidi w:val="0"/>
        <w:spacing w:line="480" w:lineRule="exact"/>
        <w:ind w:firstLine="640" w:firstLineChars="200"/>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10.完成上级交办的其他事项。</w:t>
      </w:r>
      <w:bookmarkStart w:id="54" w:name="2"/>
      <w:bookmarkEnd w:id="54"/>
      <w:bookmarkStart w:id="55" w:name="办公地址"/>
      <w:bookmarkEnd w:id="55"/>
    </w:p>
    <w:p w14:paraId="02C3A9E0">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zh-CN" w:eastAsia="zh-CN" w:bidi="ar-SA"/>
        </w:rPr>
        <w:t>（</w:t>
      </w:r>
      <w:r>
        <w:rPr>
          <w:rFonts w:hint="eastAsia" w:ascii="黑体" w:hAnsi="黑体" w:eastAsia="黑体" w:cs="黑体"/>
          <w:b w:val="0"/>
          <w:bCs w:val="0"/>
          <w:color w:val="000000"/>
          <w:kern w:val="0"/>
          <w:sz w:val="32"/>
          <w:szCs w:val="32"/>
          <w:lang w:val="zh-CN" w:eastAsia="zh-CN" w:bidi="ar-SA"/>
        </w:rPr>
        <w:t>三</w:t>
      </w:r>
      <w:r>
        <w:rPr>
          <w:rFonts w:hint="default" w:ascii="黑体" w:hAnsi="黑体" w:eastAsia="黑体" w:cs="黑体"/>
          <w:b w:val="0"/>
          <w:bCs w:val="0"/>
          <w:color w:val="000000"/>
          <w:kern w:val="0"/>
          <w:sz w:val="32"/>
          <w:szCs w:val="32"/>
          <w:lang w:val="zh-CN" w:eastAsia="zh-CN" w:bidi="ar-SA"/>
        </w:rPr>
        <w:t>）人员概况</w:t>
      </w:r>
    </w:p>
    <w:p w14:paraId="7ED0E88B">
      <w:pPr>
        <w:pageBreakBefore w:val="0"/>
        <w:numPr>
          <w:ilvl w:val="0"/>
          <w:numId w:val="0"/>
        </w:numPr>
        <w:kinsoku/>
        <w:wordWrap/>
        <w:overflowPunct/>
        <w:topLinePunct w:val="0"/>
        <w:autoSpaceDE/>
        <w:autoSpaceDN/>
        <w:bidi w:val="0"/>
        <w:spacing w:line="480" w:lineRule="exact"/>
        <w:ind w:firstLine="640" w:firstLineChars="200"/>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截至2024年12月31日，本单位共有在职职工78人，比上年减少2人，其中党委书记1人（黑水县县委书记兼任，编制不在本单位）、局长1人、副局长2人、人、纪委书记1人、管理人员40人、专业技术人员23人，机关和事业工人11人；</w:t>
      </w:r>
      <w:r>
        <w:rPr>
          <w:rFonts w:hint="default" w:ascii="仿宋" w:hAnsi="仿宋" w:eastAsia="仿宋" w:cs="仿宋"/>
          <w:color w:val="000000"/>
          <w:kern w:val="0"/>
          <w:sz w:val="32"/>
          <w:szCs w:val="32"/>
          <w:lang w:val="en-US" w:eastAsia="zh-CN" w:bidi="ar-SA"/>
        </w:rPr>
        <w:t>年末实有离退休人数为</w:t>
      </w:r>
      <w:r>
        <w:rPr>
          <w:rFonts w:hint="eastAsia" w:ascii="仿宋" w:hAnsi="仿宋" w:eastAsia="仿宋" w:cs="仿宋"/>
          <w:color w:val="000000"/>
          <w:kern w:val="0"/>
          <w:sz w:val="32"/>
          <w:szCs w:val="32"/>
          <w:lang w:val="en-US" w:eastAsia="zh-CN" w:bidi="ar-SA"/>
        </w:rPr>
        <w:t>14</w:t>
      </w:r>
      <w:r>
        <w:rPr>
          <w:rFonts w:hint="default" w:ascii="仿宋" w:hAnsi="仿宋" w:eastAsia="仿宋" w:cs="仿宋"/>
          <w:color w:val="000000"/>
          <w:kern w:val="0"/>
          <w:sz w:val="32"/>
          <w:szCs w:val="32"/>
          <w:lang w:val="en-US" w:eastAsia="zh-CN" w:bidi="ar-SA"/>
        </w:rPr>
        <w:t>人</w:t>
      </w:r>
      <w:r>
        <w:rPr>
          <w:rFonts w:hint="eastAsia" w:ascii="仿宋" w:hAnsi="仿宋" w:eastAsia="仿宋" w:cs="仿宋"/>
          <w:color w:val="000000"/>
          <w:kern w:val="0"/>
          <w:sz w:val="32"/>
          <w:szCs w:val="32"/>
          <w:lang w:val="en-US" w:eastAsia="zh-CN" w:bidi="ar-SA"/>
        </w:rPr>
        <w:t>，比上年增加2人</w:t>
      </w:r>
      <w:r>
        <w:rPr>
          <w:rFonts w:hint="default" w:ascii="仿宋" w:hAnsi="仿宋" w:eastAsia="仿宋" w:cs="仿宋"/>
          <w:color w:val="000000"/>
          <w:kern w:val="0"/>
          <w:sz w:val="32"/>
          <w:szCs w:val="32"/>
          <w:lang w:val="en-US" w:eastAsia="zh-CN" w:bidi="ar-SA"/>
        </w:rPr>
        <w:t>；年末实有</w:t>
      </w:r>
      <w:r>
        <w:rPr>
          <w:rFonts w:hint="eastAsia" w:ascii="仿宋" w:hAnsi="仿宋" w:eastAsia="仿宋" w:cs="仿宋"/>
          <w:color w:val="000000"/>
          <w:kern w:val="0"/>
          <w:sz w:val="32"/>
          <w:szCs w:val="32"/>
          <w:lang w:val="en-US" w:eastAsia="zh-CN" w:bidi="ar-SA"/>
        </w:rPr>
        <w:t>临时用工</w:t>
      </w:r>
      <w:r>
        <w:rPr>
          <w:rFonts w:hint="default" w:ascii="仿宋" w:hAnsi="仿宋" w:eastAsia="仿宋" w:cs="仿宋"/>
          <w:color w:val="000000"/>
          <w:kern w:val="0"/>
          <w:sz w:val="32"/>
          <w:szCs w:val="32"/>
          <w:lang w:val="en-US" w:eastAsia="zh-CN" w:bidi="ar-SA"/>
        </w:rPr>
        <w:t>人数为</w:t>
      </w:r>
      <w:r>
        <w:rPr>
          <w:rFonts w:hint="eastAsia" w:ascii="仿宋" w:hAnsi="仿宋" w:eastAsia="仿宋" w:cs="仿宋"/>
          <w:color w:val="000000"/>
          <w:kern w:val="0"/>
          <w:sz w:val="32"/>
          <w:szCs w:val="32"/>
          <w:lang w:val="en-US" w:eastAsia="zh-CN" w:bidi="ar-SA"/>
        </w:rPr>
        <w:t>68</w:t>
      </w:r>
      <w:r>
        <w:rPr>
          <w:rFonts w:hint="default" w:ascii="仿宋" w:hAnsi="仿宋" w:eastAsia="仿宋" w:cs="仿宋"/>
          <w:color w:val="000000"/>
          <w:kern w:val="0"/>
          <w:sz w:val="32"/>
          <w:szCs w:val="32"/>
          <w:lang w:val="en-US" w:eastAsia="zh-CN" w:bidi="ar-SA"/>
        </w:rPr>
        <w:t>人</w:t>
      </w:r>
      <w:r>
        <w:rPr>
          <w:rFonts w:hint="eastAsia" w:ascii="仿宋" w:hAnsi="仿宋" w:eastAsia="仿宋" w:cs="仿宋"/>
          <w:color w:val="000000"/>
          <w:kern w:val="0"/>
          <w:sz w:val="32"/>
          <w:szCs w:val="32"/>
          <w:lang w:val="en-US" w:eastAsia="zh-CN" w:bidi="ar-SA"/>
        </w:rPr>
        <w:t>，</w:t>
      </w:r>
      <w:r>
        <w:rPr>
          <w:rFonts w:hint="default" w:ascii="仿宋" w:hAnsi="仿宋" w:eastAsia="仿宋" w:cs="仿宋"/>
          <w:color w:val="000000"/>
          <w:kern w:val="0"/>
          <w:sz w:val="32"/>
          <w:szCs w:val="32"/>
          <w:lang w:val="en-US" w:eastAsia="zh-CN" w:bidi="ar-SA"/>
        </w:rPr>
        <w:t>比上年</w:t>
      </w:r>
      <w:r>
        <w:rPr>
          <w:rFonts w:hint="eastAsia" w:ascii="仿宋" w:hAnsi="仿宋" w:eastAsia="仿宋" w:cs="仿宋"/>
          <w:color w:val="000000"/>
          <w:kern w:val="0"/>
          <w:sz w:val="32"/>
          <w:szCs w:val="32"/>
          <w:lang w:val="en-US" w:eastAsia="zh-CN" w:bidi="ar-SA"/>
        </w:rPr>
        <w:t>减少10</w:t>
      </w:r>
      <w:r>
        <w:rPr>
          <w:rFonts w:hint="default" w:ascii="仿宋" w:hAnsi="仿宋" w:eastAsia="仿宋" w:cs="仿宋"/>
          <w:color w:val="000000"/>
          <w:kern w:val="0"/>
          <w:sz w:val="32"/>
          <w:szCs w:val="32"/>
          <w:lang w:val="en-US" w:eastAsia="zh-CN" w:bidi="ar-SA"/>
        </w:rPr>
        <w:t>人</w:t>
      </w:r>
      <w:r>
        <w:rPr>
          <w:rFonts w:hint="eastAsia" w:ascii="仿宋" w:hAnsi="仿宋" w:eastAsia="仿宋" w:cs="仿宋"/>
          <w:color w:val="000000"/>
          <w:kern w:val="0"/>
          <w:sz w:val="32"/>
          <w:szCs w:val="32"/>
          <w:lang w:val="en-US" w:eastAsia="zh-CN" w:bidi="ar-SA"/>
        </w:rPr>
        <w:t>，</w:t>
      </w:r>
      <w:r>
        <w:rPr>
          <w:rFonts w:hint="default" w:ascii="仿宋" w:hAnsi="仿宋" w:eastAsia="仿宋" w:cs="仿宋"/>
          <w:color w:val="000000"/>
          <w:kern w:val="0"/>
          <w:sz w:val="32"/>
          <w:szCs w:val="32"/>
          <w:lang w:val="en-US" w:eastAsia="zh-CN" w:bidi="ar-SA"/>
        </w:rPr>
        <w:t>变动原因为</w:t>
      </w:r>
      <w:r>
        <w:rPr>
          <w:rFonts w:hint="eastAsia" w:ascii="仿宋" w:hAnsi="仿宋" w:eastAsia="仿宋" w:cs="仿宋"/>
          <w:color w:val="000000"/>
          <w:kern w:val="0"/>
          <w:sz w:val="32"/>
          <w:szCs w:val="32"/>
          <w:lang w:val="en-US" w:eastAsia="zh-CN" w:bidi="ar-SA"/>
        </w:rPr>
        <w:t>清退超龄临聘人员。</w:t>
      </w:r>
    </w:p>
    <w:p w14:paraId="4E162E3C">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en-US" w:eastAsia="zh-CN" w:bidi="ar-SA"/>
        </w:rPr>
      </w:pPr>
      <w:r>
        <w:rPr>
          <w:rFonts w:hint="default" w:ascii="黑体" w:hAnsi="黑体" w:eastAsia="黑体" w:cs="黑体"/>
          <w:b w:val="0"/>
          <w:bCs w:val="0"/>
          <w:color w:val="000000"/>
          <w:kern w:val="0"/>
          <w:sz w:val="32"/>
          <w:szCs w:val="32"/>
          <w:lang w:val="en-US" w:eastAsia="zh-CN" w:bidi="ar-SA"/>
        </w:rPr>
        <w:t>二、部门资金收支情况</w:t>
      </w:r>
    </w:p>
    <w:p w14:paraId="58B55184">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zh-CN" w:eastAsia="zh-CN" w:bidi="ar-SA"/>
        </w:rPr>
        <w:t>（一）</w:t>
      </w:r>
      <w:r>
        <w:rPr>
          <w:rFonts w:hint="eastAsia" w:ascii="黑体" w:hAnsi="黑体" w:eastAsia="黑体" w:cs="黑体"/>
          <w:b w:val="0"/>
          <w:bCs w:val="0"/>
          <w:color w:val="000000"/>
          <w:kern w:val="0"/>
          <w:sz w:val="32"/>
          <w:szCs w:val="32"/>
          <w:lang w:val="zh-CN" w:eastAsia="zh-CN" w:bidi="ar-SA"/>
        </w:rPr>
        <w:t>收入情况</w:t>
      </w:r>
    </w:p>
    <w:p w14:paraId="61FA159A">
      <w:pPr>
        <w:pageBreakBefore w:val="0"/>
        <w:kinsoku/>
        <w:wordWrap/>
        <w:overflowPunct/>
        <w:topLinePunct w:val="0"/>
        <w:autoSpaceDE/>
        <w:autoSpaceDN/>
        <w:bidi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本单位2024</w:t>
      </w:r>
      <w:r>
        <w:rPr>
          <w:rFonts w:hint="default" w:ascii="仿宋" w:hAnsi="仿宋" w:eastAsia="仿宋" w:cs="仿宋"/>
          <w:color w:val="000000"/>
          <w:kern w:val="0"/>
          <w:sz w:val="32"/>
          <w:szCs w:val="32"/>
          <w:lang w:val="en-US" w:eastAsia="zh-CN" w:bidi="ar-SA"/>
        </w:rPr>
        <w:t>年年初收入预算数为</w:t>
      </w:r>
      <w:r>
        <w:rPr>
          <w:rFonts w:hint="eastAsia" w:ascii="仿宋" w:hAnsi="仿宋" w:eastAsia="仿宋" w:cs="仿宋"/>
          <w:color w:val="000000"/>
          <w:kern w:val="0"/>
          <w:sz w:val="32"/>
          <w:szCs w:val="32"/>
          <w:lang w:val="en-US" w:eastAsia="zh-CN" w:bidi="ar-SA"/>
        </w:rPr>
        <w:t>3,750.70</w:t>
      </w:r>
      <w:r>
        <w:rPr>
          <w:rFonts w:hint="default" w:ascii="仿宋" w:hAnsi="仿宋" w:eastAsia="仿宋" w:cs="仿宋"/>
          <w:color w:val="000000"/>
          <w:kern w:val="0"/>
          <w:sz w:val="32"/>
          <w:szCs w:val="32"/>
          <w:lang w:val="en-US" w:eastAsia="zh-CN" w:bidi="ar-SA"/>
        </w:rPr>
        <w:t>万元，</w:t>
      </w:r>
      <w:r>
        <w:rPr>
          <w:rFonts w:hint="eastAsia" w:ascii="仿宋" w:hAnsi="仿宋" w:eastAsia="仿宋" w:cs="仿宋"/>
          <w:color w:val="000000"/>
          <w:kern w:val="0"/>
          <w:sz w:val="32"/>
          <w:szCs w:val="32"/>
          <w:lang w:val="en-US" w:eastAsia="zh-CN" w:bidi="ar-SA"/>
        </w:rPr>
        <w:t>其中：</w:t>
      </w:r>
      <w:r>
        <w:rPr>
          <w:rFonts w:hint="default" w:ascii="仿宋" w:hAnsi="仿宋" w:eastAsia="仿宋" w:cs="仿宋"/>
          <w:color w:val="000000"/>
          <w:kern w:val="0"/>
          <w:sz w:val="32"/>
          <w:szCs w:val="32"/>
          <w:lang w:val="en-US" w:eastAsia="zh-CN" w:bidi="ar-SA"/>
        </w:rPr>
        <w:t>一般公共预算财政拨款收入</w:t>
      </w:r>
      <w:r>
        <w:rPr>
          <w:rFonts w:hint="eastAsia" w:ascii="仿宋" w:hAnsi="仿宋" w:eastAsia="仿宋" w:cs="仿宋"/>
          <w:color w:val="000000"/>
          <w:kern w:val="0"/>
          <w:sz w:val="32"/>
          <w:szCs w:val="32"/>
          <w:lang w:val="en-US" w:eastAsia="zh-CN" w:bidi="ar-SA"/>
        </w:rPr>
        <w:t>3,750.70万元，占总预算的100.00%；</w:t>
      </w:r>
    </w:p>
    <w:p w14:paraId="6B5D4419">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本单位2024</w:t>
      </w:r>
      <w:r>
        <w:rPr>
          <w:rFonts w:hint="default" w:ascii="仿宋" w:hAnsi="仿宋" w:eastAsia="仿宋" w:cs="仿宋"/>
          <w:color w:val="000000"/>
          <w:kern w:val="0"/>
          <w:sz w:val="32"/>
          <w:szCs w:val="32"/>
          <w:lang w:val="en-US" w:eastAsia="zh-CN" w:bidi="ar-SA"/>
        </w:rPr>
        <w:t>年收入决算数为</w:t>
      </w:r>
      <w:r>
        <w:rPr>
          <w:rFonts w:hint="eastAsia" w:ascii="仿宋" w:hAnsi="仿宋" w:eastAsia="仿宋" w:cs="仿宋"/>
          <w:color w:val="000000"/>
          <w:kern w:val="0"/>
          <w:sz w:val="32"/>
          <w:szCs w:val="32"/>
          <w:lang w:val="en-US" w:eastAsia="zh-CN" w:bidi="ar-SA"/>
        </w:rPr>
        <w:t>4,128.99</w:t>
      </w:r>
      <w:r>
        <w:rPr>
          <w:rFonts w:hint="default" w:ascii="仿宋" w:hAnsi="仿宋" w:eastAsia="仿宋" w:cs="仿宋"/>
          <w:color w:val="000000"/>
          <w:kern w:val="0"/>
          <w:sz w:val="32"/>
          <w:szCs w:val="32"/>
          <w:lang w:val="en-US" w:eastAsia="zh-CN" w:bidi="ar-SA"/>
        </w:rPr>
        <w:t>万元，</w:t>
      </w:r>
      <w:r>
        <w:rPr>
          <w:rFonts w:hint="eastAsia" w:ascii="仿宋" w:hAnsi="仿宋" w:eastAsia="仿宋" w:cs="仿宋"/>
          <w:color w:val="000000"/>
          <w:kern w:val="0"/>
          <w:sz w:val="32"/>
          <w:szCs w:val="32"/>
          <w:lang w:val="en-US" w:eastAsia="zh-CN" w:bidi="ar-SA"/>
        </w:rPr>
        <w:t>其中：</w:t>
      </w:r>
      <w:r>
        <w:rPr>
          <w:rFonts w:hint="default" w:ascii="仿宋" w:hAnsi="仿宋" w:eastAsia="仿宋" w:cs="仿宋"/>
          <w:color w:val="000000"/>
          <w:kern w:val="0"/>
          <w:sz w:val="32"/>
          <w:szCs w:val="32"/>
          <w:lang w:val="en-US" w:eastAsia="zh-CN" w:bidi="ar-SA"/>
        </w:rPr>
        <w:t>一般公共预算财政拨款收入</w:t>
      </w:r>
      <w:r>
        <w:rPr>
          <w:rFonts w:hint="eastAsia" w:ascii="仿宋" w:hAnsi="仿宋" w:eastAsia="仿宋" w:cs="仿宋"/>
          <w:color w:val="000000"/>
          <w:kern w:val="0"/>
          <w:sz w:val="32"/>
          <w:szCs w:val="32"/>
          <w:lang w:val="en-US" w:eastAsia="zh-CN" w:bidi="ar-SA"/>
        </w:rPr>
        <w:t>4,039.95万元，占总决算的97.84%，其他收入89.04万元，占总决算的2.16%；</w:t>
      </w:r>
    </w:p>
    <w:p w14:paraId="08BFDB4A">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zh-CN" w:eastAsia="zh-CN" w:bidi="ar-SA"/>
        </w:rPr>
        <w:t>（</w:t>
      </w:r>
      <w:r>
        <w:rPr>
          <w:rFonts w:hint="eastAsia" w:ascii="黑体" w:hAnsi="黑体" w:eastAsia="黑体" w:cs="黑体"/>
          <w:b w:val="0"/>
          <w:bCs w:val="0"/>
          <w:color w:val="000000"/>
          <w:kern w:val="0"/>
          <w:sz w:val="32"/>
          <w:szCs w:val="32"/>
          <w:lang w:val="zh-CN" w:eastAsia="zh-CN" w:bidi="ar-SA"/>
        </w:rPr>
        <w:t>二</w:t>
      </w:r>
      <w:r>
        <w:rPr>
          <w:rFonts w:hint="default" w:ascii="黑体" w:hAnsi="黑体" w:eastAsia="黑体" w:cs="黑体"/>
          <w:b w:val="0"/>
          <w:bCs w:val="0"/>
          <w:color w:val="000000"/>
          <w:kern w:val="0"/>
          <w:sz w:val="32"/>
          <w:szCs w:val="32"/>
          <w:lang w:val="zh-CN" w:eastAsia="zh-CN" w:bidi="ar-SA"/>
        </w:rPr>
        <w:t>）</w:t>
      </w:r>
      <w:r>
        <w:rPr>
          <w:rFonts w:hint="eastAsia" w:ascii="黑体" w:hAnsi="黑体" w:eastAsia="黑体" w:cs="黑体"/>
          <w:b w:val="0"/>
          <w:bCs w:val="0"/>
          <w:color w:val="000000"/>
          <w:kern w:val="0"/>
          <w:sz w:val="32"/>
          <w:szCs w:val="32"/>
          <w:lang w:val="zh-CN" w:eastAsia="zh-CN" w:bidi="ar-SA"/>
        </w:rPr>
        <w:t>支出情况</w:t>
      </w:r>
    </w:p>
    <w:p w14:paraId="552EB387">
      <w:pPr>
        <w:keepNext w:val="0"/>
        <w:keepLines w:val="0"/>
        <w:pageBreakBefore w:val="0"/>
        <w:widowControl/>
        <w:kinsoku/>
        <w:wordWrap/>
        <w:overflowPunct/>
        <w:topLinePunct w:val="0"/>
        <w:autoSpaceDE/>
        <w:autoSpaceDN/>
        <w:bidi w:val="0"/>
        <w:adjustRightInd w:val="0"/>
        <w:snapToGrid w:val="0"/>
        <w:spacing w:line="480" w:lineRule="exact"/>
        <w:ind w:firstLine="640" w:firstLineChars="200"/>
        <w:contextualSpacing/>
        <w:jc w:val="both"/>
        <w:textAlignment w:val="auto"/>
        <w:outlineLvl w:val="9"/>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本单位2024年年初支出预算数为3750.70万元，其中：基本支出2,540.14万元，占支出总额的67.72%；项目支出1,210.56万元，占支出总额的32.28%。</w:t>
      </w:r>
    </w:p>
    <w:p w14:paraId="5130F3FC">
      <w:pPr>
        <w:keepNext w:val="0"/>
        <w:keepLines w:val="0"/>
        <w:pageBreakBefore w:val="0"/>
        <w:widowControl/>
        <w:kinsoku/>
        <w:wordWrap/>
        <w:overflowPunct/>
        <w:topLinePunct w:val="0"/>
        <w:autoSpaceDE/>
        <w:autoSpaceDN/>
        <w:bidi w:val="0"/>
        <w:adjustRightInd w:val="0"/>
        <w:snapToGrid w:val="0"/>
        <w:spacing w:line="480" w:lineRule="exact"/>
        <w:ind w:firstLine="640" w:firstLineChars="200"/>
        <w:contextualSpacing/>
        <w:jc w:val="both"/>
        <w:textAlignment w:val="auto"/>
        <w:outlineLvl w:val="9"/>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本单位2024年支出决算数为4,128.99万元，其中：基本支出2,829.78万元，占支出总额的68.53%；项目支出1,223.47万元，占支出总额的29.63%。</w:t>
      </w:r>
    </w:p>
    <w:p w14:paraId="0081BDB5">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default" w:ascii="黑体" w:hAnsi="黑体" w:eastAsia="黑体" w:cs="黑体"/>
          <w:b w:val="0"/>
          <w:bCs w:val="0"/>
          <w:color w:val="000000"/>
          <w:kern w:val="0"/>
          <w:sz w:val="32"/>
          <w:szCs w:val="32"/>
          <w:lang w:val="zh-CN" w:eastAsia="zh-CN" w:bidi="ar-SA"/>
        </w:rPr>
        <w:t>（</w:t>
      </w:r>
      <w:r>
        <w:rPr>
          <w:rFonts w:hint="eastAsia" w:ascii="黑体" w:hAnsi="黑体" w:eastAsia="黑体" w:cs="黑体"/>
          <w:b w:val="0"/>
          <w:bCs w:val="0"/>
          <w:color w:val="000000"/>
          <w:kern w:val="0"/>
          <w:sz w:val="32"/>
          <w:szCs w:val="32"/>
          <w:lang w:val="zh-CN" w:eastAsia="zh-CN" w:bidi="ar-SA"/>
        </w:rPr>
        <w:t>三</w:t>
      </w:r>
      <w:r>
        <w:rPr>
          <w:rFonts w:hint="default" w:ascii="黑体" w:hAnsi="黑体" w:eastAsia="黑体" w:cs="黑体"/>
          <w:b w:val="0"/>
          <w:bCs w:val="0"/>
          <w:color w:val="000000"/>
          <w:kern w:val="0"/>
          <w:sz w:val="32"/>
          <w:szCs w:val="32"/>
          <w:lang w:val="zh-CN" w:eastAsia="zh-CN" w:bidi="ar-SA"/>
        </w:rPr>
        <w:t>）</w:t>
      </w:r>
      <w:r>
        <w:rPr>
          <w:rFonts w:hint="default" w:ascii="黑体" w:hAnsi="黑体" w:eastAsia="黑体" w:cs="黑体"/>
          <w:b w:val="0"/>
          <w:bCs w:val="0"/>
          <w:color w:val="000000"/>
          <w:kern w:val="0"/>
          <w:sz w:val="32"/>
          <w:szCs w:val="32"/>
          <w:lang w:val="en-US" w:eastAsia="zh-CN" w:bidi="ar-SA"/>
        </w:rPr>
        <w:t>结余分配和结转结余情况</w:t>
      </w:r>
    </w:p>
    <w:p w14:paraId="47AC9E35">
      <w:pPr>
        <w:keepNext w:val="0"/>
        <w:keepLines w:val="0"/>
        <w:pageBreakBefore w:val="0"/>
        <w:widowControl/>
        <w:kinsoku/>
        <w:wordWrap/>
        <w:overflowPunct/>
        <w:topLinePunct w:val="0"/>
        <w:autoSpaceDE/>
        <w:autoSpaceDN/>
        <w:bidi w:val="0"/>
        <w:adjustRightInd w:val="0"/>
        <w:snapToGrid w:val="0"/>
        <w:spacing w:line="480" w:lineRule="exact"/>
        <w:ind w:firstLine="640" w:firstLineChars="200"/>
        <w:contextualSpacing/>
        <w:jc w:val="both"/>
        <w:textAlignment w:val="auto"/>
        <w:outlineLvl w:val="9"/>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本单位2024年年末结转和结余75.74万元，结余率为1.83%。</w:t>
      </w:r>
    </w:p>
    <w:p w14:paraId="0A07413D">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en-US" w:eastAsia="zh-CN" w:bidi="ar-SA"/>
        </w:rPr>
      </w:pPr>
      <w:r>
        <w:rPr>
          <w:rFonts w:hint="default" w:ascii="黑体" w:hAnsi="黑体" w:eastAsia="黑体" w:cs="黑体"/>
          <w:b w:val="0"/>
          <w:bCs w:val="0"/>
          <w:color w:val="000000"/>
          <w:kern w:val="0"/>
          <w:sz w:val="32"/>
          <w:szCs w:val="32"/>
          <w:lang w:val="en-US" w:eastAsia="zh-CN" w:bidi="ar-SA"/>
        </w:rPr>
        <w:t>三、部门预算绩效分析</w:t>
      </w:r>
    </w:p>
    <w:p w14:paraId="28FEE3BA">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zh-CN" w:eastAsia="zh-CN" w:bidi="ar-SA"/>
        </w:rPr>
        <w:t>（一）</w:t>
      </w:r>
      <w:r>
        <w:rPr>
          <w:rFonts w:hint="eastAsia" w:ascii="黑体" w:hAnsi="黑体" w:eastAsia="黑体" w:cs="黑体"/>
          <w:b w:val="0"/>
          <w:bCs w:val="0"/>
          <w:color w:val="000000"/>
          <w:kern w:val="0"/>
          <w:sz w:val="32"/>
          <w:szCs w:val="32"/>
          <w:lang w:val="zh-CN" w:eastAsia="zh-CN" w:bidi="ar-SA"/>
        </w:rPr>
        <w:t>部门预算</w:t>
      </w:r>
      <w:r>
        <w:rPr>
          <w:rFonts w:hint="default" w:ascii="黑体" w:hAnsi="黑体" w:eastAsia="黑体" w:cs="黑体"/>
          <w:b w:val="0"/>
          <w:bCs w:val="0"/>
          <w:color w:val="000000"/>
          <w:kern w:val="0"/>
          <w:sz w:val="32"/>
          <w:szCs w:val="32"/>
          <w:lang w:val="zh-CN" w:eastAsia="zh-CN" w:bidi="ar-SA"/>
        </w:rPr>
        <w:t>总体绩效分析</w:t>
      </w:r>
    </w:p>
    <w:p w14:paraId="7FA128AD">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en-US" w:eastAsia="zh-CN" w:bidi="ar-SA"/>
        </w:rPr>
        <w:t>1</w:t>
      </w:r>
      <w:r>
        <w:rPr>
          <w:rFonts w:hint="eastAsia" w:ascii="黑体" w:hAnsi="黑体" w:eastAsia="黑体" w:cs="黑体"/>
          <w:b w:val="0"/>
          <w:bCs w:val="0"/>
          <w:color w:val="000000"/>
          <w:kern w:val="0"/>
          <w:sz w:val="32"/>
          <w:szCs w:val="32"/>
          <w:lang w:val="en-US" w:eastAsia="zh-CN" w:bidi="ar-SA"/>
        </w:rPr>
        <w:t>．</w:t>
      </w:r>
      <w:r>
        <w:rPr>
          <w:rFonts w:hint="eastAsia" w:ascii="黑体" w:hAnsi="黑体" w:eastAsia="黑体" w:cs="黑体"/>
          <w:b w:val="0"/>
          <w:bCs w:val="0"/>
          <w:color w:val="000000"/>
          <w:kern w:val="0"/>
          <w:sz w:val="32"/>
          <w:szCs w:val="32"/>
          <w:lang w:val="zh-CN" w:eastAsia="zh-CN" w:bidi="ar-SA"/>
        </w:rPr>
        <w:t>履职效能</w:t>
      </w:r>
    </w:p>
    <w:p w14:paraId="6106E9D8">
      <w:pPr>
        <w:keepNext w:val="0"/>
        <w:keepLines w:val="0"/>
        <w:pageBreakBefore w:val="0"/>
        <w:widowControl w:val="0"/>
        <w:kinsoku/>
        <w:wordWrap/>
        <w:overflowPunct/>
        <w:topLinePunct w:val="0"/>
        <w:autoSpaceDE/>
        <w:autoSpaceDN/>
        <w:bidi w:val="0"/>
        <w:adjustRightInd/>
        <w:spacing w:line="480" w:lineRule="exact"/>
        <w:ind w:firstLine="627" w:firstLineChars="196"/>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达古冰川管理局坚定以习近平新时代中国特色社会主义思想为指导，全面贯彻党的二十大精神和二十届二中、三中全会、中央经济工作会议及省委十二届五次、六次全会、省委经济工作会议精神，认真落实州委十二届四次、五次全会、州委经济工作会议决策部署，以“聚人气、创品牌，精服务、强管理，抓创建、塑形象”的发展定力，立足“大冰川”旅游发展新阶段，完整准确全面贯彻新发展理念，主动服务和融入新发展格局，扎实有效推动冰川生态旅游高质量发展，加快建设冰川彩林国际旅游目的地。全年共接待游客23.84万人次，同比下降5.72%，实现门票收入1385.33万元，同比增长10.26%。人次下降的原因为因连续强降大到暴雨，景区先后发生多处泥石流灾害，索道于7月13日至9月30日期间停运；景区于7月18日至8月31日期间闭园。</w:t>
      </w:r>
    </w:p>
    <w:p w14:paraId="2156C1C5">
      <w:pPr>
        <w:keepNext w:val="0"/>
        <w:keepLines w:val="0"/>
        <w:pageBreakBefore w:val="0"/>
        <w:widowControl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（一）依法治景，在生态保护科研中强措施，见实效。以实现生态资源可持续利用为目标，抓住重点、精准发力，扎实有效开展景区生态保护工作，夯实绿色发展本底。</w:t>
      </w:r>
    </w:p>
    <w:p w14:paraId="478EE88B">
      <w:pPr>
        <w:keepNext w:val="0"/>
        <w:keepLines w:val="0"/>
        <w:pageBreakBefore w:val="0"/>
        <w:widowControl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（二）强势宣传，在冰川品牌打造中出实招、抓突破。立足资源优势，全方位、多维度、创新性开展景区宣传营销，全面提升“大冰川”品牌人气和名气。</w:t>
      </w:r>
    </w:p>
    <w:p w14:paraId="56268BD9">
      <w:pPr>
        <w:pStyle w:val="8"/>
        <w:keepNext w:val="0"/>
        <w:keepLines w:val="0"/>
        <w:pageBreakBefore w:val="0"/>
        <w:widowControl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（三）以人为本，在满足游客中服务多元化、人性化。始终践行以人为本和共享发展理念，从细处着手，人性化开展服务保障，全力打造冰川旅游新形象。</w:t>
      </w:r>
    </w:p>
    <w:p w14:paraId="63CE9B8F">
      <w:pPr>
        <w:pStyle w:val="8"/>
        <w:keepNext w:val="0"/>
        <w:keepLines w:val="0"/>
        <w:pageBreakBefore w:val="0"/>
        <w:widowControl w:val="0"/>
        <w:numPr>
          <w:ilvl w:val="0"/>
          <w:numId w:val="0"/>
        </w:numPr>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（四）积极争取，在旅游环境提升中谋长远、不懈怠。聚焦景区必须发展的现实需求和迫切任务，立足当下、着眼长远，精心谋划和推进提升改造和品牌创建工作，加快实现景区二次提升。</w:t>
      </w:r>
    </w:p>
    <w:p w14:paraId="23B22237">
      <w:pPr>
        <w:keepNext w:val="0"/>
        <w:keepLines w:val="0"/>
        <w:pageBreakBefore w:val="0"/>
        <w:widowControl w:val="0"/>
        <w:kinsoku/>
        <w:wordWrap/>
        <w:overflowPunct/>
        <w:topLinePunct w:val="0"/>
        <w:autoSpaceDE/>
        <w:autoSpaceDN/>
        <w:bidi w:val="0"/>
        <w:spacing w:line="480" w:lineRule="exact"/>
        <w:ind w:left="0"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（五）从严管理，在党风廉政建设中明责任、严要求。从严落实全面从严治党要求，抓实党风廉政建设和干部队伍建设，为加快冰川旅游发展提供有力保障。</w:t>
      </w:r>
    </w:p>
    <w:p w14:paraId="4FBB380D">
      <w:pPr>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为充分反映本单位2024年度部门职能履行成效，本次绩效自评根据要求，结合部门职能职责和2024年度重点工作任务，选取了“景区旅游接待量、景区生态资源保护面积、开展森林草原防灭火宣传次数”3个绩效指标作为核心职能目标，各职能目标具体完成情况如下：</w:t>
      </w:r>
    </w:p>
    <w:p w14:paraId="11F219BD">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（1）景区旅游接待量</w:t>
      </w:r>
    </w:p>
    <w:p w14:paraId="435BCB73">
      <w:pPr>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该项指标年初设定指标值为完成景区旅游接待量15万人次，全年实际完成值为23.83万人次。</w:t>
      </w:r>
    </w:p>
    <w:p w14:paraId="696C662E">
      <w:pPr>
        <w:pageBreakBefore w:val="0"/>
        <w:widowControl w:val="0"/>
        <w:kinsoku/>
        <w:wordWrap/>
        <w:overflowPunct/>
        <w:topLinePunct w:val="0"/>
        <w:autoSpaceDE/>
        <w:autoSpaceDN/>
        <w:bidi w:val="0"/>
        <w:adjustRightInd/>
        <w:snapToGrid/>
        <w:spacing w:line="480" w:lineRule="exact"/>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根据评分标准，该项指标不扣分，得5分。</w:t>
      </w:r>
    </w:p>
    <w:p w14:paraId="11783214">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（2）景区生态资源保护面积</w:t>
      </w:r>
    </w:p>
    <w:p w14:paraId="19BB2E5F">
      <w:pPr>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该项指标年初设定指标值为景区生态资源保护面积大于等于623平方公里，全年实际完成值为623平方公里。</w:t>
      </w:r>
    </w:p>
    <w:p w14:paraId="598AE896">
      <w:pPr>
        <w:pageBreakBefore w:val="0"/>
        <w:widowControl w:val="0"/>
        <w:kinsoku/>
        <w:wordWrap/>
        <w:overflowPunct/>
        <w:topLinePunct w:val="0"/>
        <w:autoSpaceDE/>
        <w:autoSpaceDN/>
        <w:bidi w:val="0"/>
        <w:adjustRightInd/>
        <w:snapToGrid/>
        <w:spacing w:line="480" w:lineRule="exact"/>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根据评分标准，该项指标不扣分，得5分。</w:t>
      </w:r>
    </w:p>
    <w:p w14:paraId="0D7F81B1">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（3）开展森林草原防灭火宣传次数</w:t>
      </w:r>
    </w:p>
    <w:p w14:paraId="0BDBA59D">
      <w:pPr>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该项指标年初设定指标值为开展森林草原防灭火宣传次大于等于20次，全年实际完成值为103次。</w:t>
      </w:r>
    </w:p>
    <w:p w14:paraId="3ACF6631">
      <w:pPr>
        <w:pageBreakBefore w:val="0"/>
        <w:widowControl w:val="0"/>
        <w:kinsoku/>
        <w:wordWrap/>
        <w:overflowPunct/>
        <w:topLinePunct w:val="0"/>
        <w:autoSpaceDE/>
        <w:autoSpaceDN/>
        <w:bidi w:val="0"/>
        <w:adjustRightInd/>
        <w:snapToGrid/>
        <w:spacing w:line="480" w:lineRule="exact"/>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根据评分标准，该项指标不扣分，得5分。</w:t>
      </w:r>
    </w:p>
    <w:p w14:paraId="3F71A3E1">
      <w:pPr>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综上，根据评分标准，本单位履职效能指标不扣分，得15分。</w:t>
      </w:r>
    </w:p>
    <w:p w14:paraId="0400DAA0">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en-US" w:eastAsia="zh-CN" w:bidi="ar-SA"/>
        </w:rPr>
        <w:t>2</w:t>
      </w: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zh-CN" w:eastAsia="zh-CN" w:bidi="ar-SA"/>
        </w:rPr>
        <w:t>预算管理</w:t>
      </w:r>
    </w:p>
    <w:p w14:paraId="7BCB2A3F">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zh-CN" w:eastAsia="zh-CN" w:bidi="ar-SA"/>
        </w:rPr>
        <w:t>（</w:t>
      </w:r>
      <w:r>
        <w:rPr>
          <w:rFonts w:hint="default" w:ascii="黑体" w:hAnsi="黑体" w:eastAsia="黑体" w:cs="黑体"/>
          <w:b w:val="0"/>
          <w:bCs w:val="0"/>
          <w:color w:val="000000"/>
          <w:kern w:val="0"/>
          <w:sz w:val="32"/>
          <w:szCs w:val="32"/>
          <w:lang w:val="en-US" w:eastAsia="zh-CN" w:bidi="ar-SA"/>
        </w:rPr>
        <w:t>1</w:t>
      </w:r>
      <w:r>
        <w:rPr>
          <w:rFonts w:hint="eastAsia" w:ascii="黑体" w:hAnsi="黑体" w:eastAsia="黑体" w:cs="黑体"/>
          <w:b w:val="0"/>
          <w:bCs w:val="0"/>
          <w:color w:val="000000"/>
          <w:kern w:val="0"/>
          <w:sz w:val="32"/>
          <w:szCs w:val="32"/>
          <w:lang w:val="zh-CN" w:eastAsia="zh-CN" w:bidi="ar-SA"/>
        </w:rPr>
        <w:t>）预算编制质量</w:t>
      </w:r>
    </w:p>
    <w:p w14:paraId="13A148C1">
      <w:pPr>
        <w:pageBreakBefore w:val="0"/>
        <w:kinsoku/>
        <w:wordWrap/>
        <w:overflowPunct/>
        <w:topLinePunct w:val="0"/>
        <w:autoSpaceDE/>
        <w:autoSpaceDN/>
        <w:bidi w:val="0"/>
        <w:adjustRightInd w:val="0"/>
        <w:snapToGrid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根据预算报表和决算报表，本部门财政拨款年初预算数为3,750.70万元，财政拨款预算执行数为4,039.95万元，财政拨款预算偏离度=（4,039.95-3,750.70）÷3,750.70*100%=7.71%。</w:t>
      </w:r>
    </w:p>
    <w:p w14:paraId="5026B21D">
      <w:pPr>
        <w:pageBreakBefore w:val="0"/>
        <w:kinsoku/>
        <w:wordWrap/>
        <w:overflowPunct/>
        <w:topLinePunct w:val="0"/>
        <w:autoSpaceDE/>
        <w:autoSpaceDN/>
        <w:bidi w:val="0"/>
        <w:adjustRightInd w:val="0"/>
        <w:snapToGrid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本部门资产配置预算执行数为0.00万元，资产配置年初预算数为0.00万元，资产配置预算偏离度为0。</w:t>
      </w:r>
    </w:p>
    <w:p w14:paraId="2B8FF78F">
      <w:pPr>
        <w:pageBreakBefore w:val="0"/>
        <w:kinsoku/>
        <w:wordWrap/>
        <w:overflowPunct/>
        <w:topLinePunct w:val="0"/>
        <w:autoSpaceDE/>
        <w:autoSpaceDN/>
        <w:bidi w:val="0"/>
        <w:adjustRightInd w:val="0"/>
        <w:snapToGrid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根据本部门预算表和决算报表，本部门政府采购预算执行数为275.51万元，2024年政府采购年初预算数为275.51万元，政府采购预算偏离度=0.00。</w:t>
      </w:r>
    </w:p>
    <w:p w14:paraId="202A3BC9">
      <w:pPr>
        <w:pStyle w:val="22"/>
        <w:pageBreakBefore w:val="0"/>
        <w:kinsoku/>
        <w:wordWrap/>
        <w:overflowPunct/>
        <w:topLinePunct w:val="0"/>
        <w:autoSpaceDE/>
        <w:autoSpaceDN/>
        <w:bidi w:val="0"/>
        <w:adjustRightInd w:val="0"/>
        <w:snapToGrid w:val="0"/>
        <w:spacing w:line="480" w:lineRule="exact"/>
        <w:ind w:left="0" w:leftChars="0"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综上，根据评分标准，该项指标得分=（1-财政拨款预算偏离度）×100%×4+（1-资产配置预算偏离度）×100%×2+（1-政府采购预算偏离度）×100%×2=2.68。该项指标扣0.31分，得7.69分。</w:t>
      </w:r>
    </w:p>
    <w:p w14:paraId="6B62240A">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en-US" w:eastAsia="zh-CN" w:bidi="ar-SA"/>
        </w:rPr>
        <w:t>2</w:t>
      </w:r>
      <w:r>
        <w:rPr>
          <w:rFonts w:hint="eastAsia" w:ascii="黑体" w:hAnsi="黑体" w:eastAsia="黑体" w:cs="黑体"/>
          <w:b w:val="0"/>
          <w:bCs w:val="0"/>
          <w:color w:val="000000"/>
          <w:kern w:val="0"/>
          <w:sz w:val="32"/>
          <w:szCs w:val="32"/>
          <w:lang w:val="en-US" w:eastAsia="zh-CN" w:bidi="ar-SA"/>
        </w:rPr>
        <w:t>）单位收入统筹</w:t>
      </w:r>
    </w:p>
    <w:p w14:paraId="6D602847">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本单位属于财政全额拨款单位，无自有收入，故不涉及此项考核。</w:t>
      </w:r>
    </w:p>
    <w:p w14:paraId="1424F451">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根据评分标准，该项指标</w:t>
      </w:r>
      <w:r>
        <w:rPr>
          <w:rFonts w:hint="eastAsia" w:ascii="仿宋" w:hAnsi="仿宋" w:eastAsia="仿宋" w:cs="仿宋"/>
          <w:color w:val="000000"/>
          <w:kern w:val="0"/>
          <w:sz w:val="32"/>
          <w:szCs w:val="32"/>
          <w:lang w:val="en-US" w:eastAsia="zh-CN" w:bidi="ar-SA"/>
        </w:rPr>
        <w:t>不扣分，得4分。</w:t>
      </w:r>
    </w:p>
    <w:p w14:paraId="269DDC93">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en-US" w:eastAsia="zh-CN" w:bidi="ar-SA"/>
        </w:rPr>
        <w:t>3</w:t>
      </w:r>
      <w:r>
        <w:rPr>
          <w:rFonts w:hint="eastAsia" w:ascii="黑体" w:hAnsi="黑体" w:eastAsia="黑体" w:cs="黑体"/>
          <w:b w:val="0"/>
          <w:bCs w:val="0"/>
          <w:color w:val="000000"/>
          <w:kern w:val="0"/>
          <w:sz w:val="32"/>
          <w:szCs w:val="32"/>
          <w:lang w:val="en-US" w:eastAsia="zh-CN" w:bidi="ar-SA"/>
        </w:rPr>
        <w:t>）支出执行进度</w:t>
      </w:r>
    </w:p>
    <w:p w14:paraId="1FE8CEC7">
      <w:pPr>
        <w:pStyle w:val="22"/>
        <w:pageBreakBefore w:val="0"/>
        <w:kinsoku/>
        <w:wordWrap/>
        <w:overflowPunct/>
        <w:topLinePunct w:val="0"/>
        <w:autoSpaceDE/>
        <w:autoSpaceDN/>
        <w:bidi w:val="0"/>
        <w:adjustRightInd w:val="0"/>
        <w:snapToGrid w:val="0"/>
        <w:spacing w:line="480" w:lineRule="exact"/>
        <w:ind w:left="0" w:leftChars="0"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2024年本单位全年预算数为4,128.99万元，1至6月预算执行数为1,808.55万元，预算执行率为42.80%。支出预警金额为0万元，支出预警金额占比为0%，支出违规金额为0万元，支出违规金额占比为0%。</w:t>
      </w:r>
    </w:p>
    <w:p w14:paraId="07182C74">
      <w:pPr>
        <w:pStyle w:val="22"/>
        <w:pageBreakBefore w:val="0"/>
        <w:kinsoku/>
        <w:wordWrap/>
        <w:overflowPunct/>
        <w:topLinePunct w:val="0"/>
        <w:autoSpaceDE/>
        <w:autoSpaceDN/>
        <w:bidi w:val="0"/>
        <w:adjustRightInd w:val="0"/>
        <w:snapToGrid w:val="0"/>
        <w:spacing w:line="480" w:lineRule="exact"/>
        <w:ind w:left="0" w:leftChars="0"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1至10月预算执行数为2,908.49万元，预算执行率为70.44%。支出预警金额为0万元，支出预警金额占比为0%，支出违规金额为0万元，支出违规金额占比为0%。</w:t>
      </w:r>
    </w:p>
    <w:p w14:paraId="26B6E77A">
      <w:pPr>
        <w:pStyle w:val="22"/>
        <w:pageBreakBefore w:val="0"/>
        <w:kinsoku/>
        <w:wordWrap/>
        <w:overflowPunct/>
        <w:topLinePunct w:val="0"/>
        <w:autoSpaceDE/>
        <w:autoSpaceDN/>
        <w:bidi w:val="0"/>
        <w:adjustRightInd w:val="0"/>
        <w:snapToGrid w:val="0"/>
        <w:spacing w:line="480" w:lineRule="exact"/>
        <w:ind w:left="0" w:leftChars="0"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综上，根据评分标准，该项指标得5.44分。本部门为了确保资金使用合规，在资金支出过程中遵守严格的财务制度和审计要求，因项目实施时间长，导致资金支出滞后，故支出执行进度较慢。</w:t>
      </w:r>
    </w:p>
    <w:p w14:paraId="1C628537">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en-US" w:eastAsia="zh-CN" w:bidi="ar-SA"/>
        </w:rPr>
        <w:t>4</w:t>
      </w:r>
      <w:r>
        <w:rPr>
          <w:rFonts w:hint="eastAsia" w:ascii="黑体" w:hAnsi="黑体" w:eastAsia="黑体" w:cs="黑体"/>
          <w:b w:val="0"/>
          <w:bCs w:val="0"/>
          <w:color w:val="000000"/>
          <w:kern w:val="0"/>
          <w:sz w:val="32"/>
          <w:szCs w:val="32"/>
          <w:lang w:val="en-US" w:eastAsia="zh-CN" w:bidi="ar-SA"/>
        </w:rPr>
        <w:t>）预算年终结余</w:t>
      </w:r>
    </w:p>
    <w:p w14:paraId="7A45129B">
      <w:pPr>
        <w:pageBreakBefore w:val="0"/>
        <w:kinsoku/>
        <w:wordWrap/>
        <w:overflowPunct/>
        <w:topLinePunct w:val="0"/>
        <w:autoSpaceDE/>
        <w:autoSpaceDN/>
        <w:bidi w:val="0"/>
        <w:adjustRightInd w:val="0"/>
        <w:snapToGrid w:val="0"/>
        <w:spacing w:line="48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根据决算报表，本部门年终部门预算注销金额为0.00万元，结转金额为0.00万元，合计0.00万元，占比为0.00%。</w:t>
      </w:r>
    </w:p>
    <w:p w14:paraId="319EF646">
      <w:pPr>
        <w:pStyle w:val="22"/>
        <w:pageBreakBefore w:val="0"/>
        <w:kinsoku/>
        <w:wordWrap/>
        <w:overflowPunct/>
        <w:topLinePunct w:val="0"/>
        <w:autoSpaceDE/>
        <w:autoSpaceDN/>
        <w:bidi w:val="0"/>
        <w:adjustRightInd w:val="0"/>
        <w:snapToGrid w:val="0"/>
        <w:spacing w:line="480" w:lineRule="exact"/>
        <w:ind w:left="0" w:leftChars="0"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综上，根据评分标准，该项指标得2分。</w:t>
      </w:r>
    </w:p>
    <w:p w14:paraId="580DF20B">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en-US" w:eastAsia="zh-CN" w:bidi="ar-SA"/>
        </w:rPr>
        <w:t>5</w:t>
      </w:r>
      <w:r>
        <w:rPr>
          <w:rFonts w:hint="eastAsia" w:ascii="黑体" w:hAnsi="黑体" w:eastAsia="黑体" w:cs="黑体"/>
          <w:b w:val="0"/>
          <w:bCs w:val="0"/>
          <w:color w:val="000000"/>
          <w:kern w:val="0"/>
          <w:sz w:val="32"/>
          <w:szCs w:val="32"/>
          <w:lang w:val="en-US" w:eastAsia="zh-CN" w:bidi="ar-SA"/>
        </w:rPr>
        <w:t>）严控一般性支出</w:t>
      </w:r>
    </w:p>
    <w:p w14:paraId="4BBB22AD">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我部门2024年度“三公”经费、会议、培训、差旅、办节办展、办公设备购置、信息网络及软件购置更新、课题经费等8项一般性支出情况详见下表3-1。</w:t>
      </w:r>
    </w:p>
    <w:p w14:paraId="6EB5B80B">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1600" w:firstLineChars="5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表3-1 2024年度一般性支出情况表</w:t>
      </w:r>
    </w:p>
    <w:p w14:paraId="14A99191">
      <w:pPr>
        <w:pStyle w:val="4"/>
        <w:pageBreakBefore w:val="0"/>
        <w:widowControl w:val="0"/>
        <w:kinsoku/>
        <w:wordWrap/>
        <w:overflowPunct/>
        <w:topLinePunct w:val="0"/>
        <w:autoSpaceDE/>
        <w:autoSpaceDN/>
        <w:bidi w:val="0"/>
        <w:adjustRightInd/>
        <w:snapToGrid/>
        <w:spacing w:before="0" w:after="0" w:line="480" w:lineRule="exact"/>
        <w:jc w:val="right"/>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单位：万元</w:t>
      </w:r>
    </w:p>
    <w:tbl>
      <w:tblPr>
        <w:tblStyle w:val="13"/>
        <w:tblW w:w="9945" w:type="dxa"/>
        <w:tblInd w:w="-45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5"/>
        <w:gridCol w:w="1515"/>
        <w:gridCol w:w="1471"/>
        <w:gridCol w:w="1323"/>
        <w:gridCol w:w="1002"/>
        <w:gridCol w:w="1679"/>
        <w:gridCol w:w="1215"/>
        <w:gridCol w:w="1185"/>
      </w:tblGrid>
      <w:tr w14:paraId="0DB18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0" w:hRule="atLeast"/>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14:paraId="6E5B92F0">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序号</w:t>
            </w:r>
          </w:p>
        </w:tc>
        <w:tc>
          <w:tcPr>
            <w:tcW w:w="1515" w:type="dxa"/>
            <w:tcBorders>
              <w:top w:val="single" w:color="auto" w:sz="4" w:space="0"/>
              <w:left w:val="single" w:color="auto" w:sz="4" w:space="0"/>
              <w:bottom w:val="single" w:color="auto" w:sz="4" w:space="0"/>
              <w:right w:val="single" w:color="auto" w:sz="4" w:space="0"/>
            </w:tcBorders>
            <w:shd w:val="clear" w:color="auto" w:fill="auto"/>
            <w:vAlign w:val="center"/>
          </w:tcPr>
          <w:p w14:paraId="4389F276">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项目名称</w:t>
            </w:r>
          </w:p>
        </w:tc>
        <w:tc>
          <w:tcPr>
            <w:tcW w:w="1471" w:type="dxa"/>
            <w:tcBorders>
              <w:top w:val="single" w:color="auto" w:sz="4" w:space="0"/>
              <w:left w:val="single" w:color="auto" w:sz="4" w:space="0"/>
              <w:bottom w:val="single" w:color="auto" w:sz="4" w:space="0"/>
              <w:right w:val="single" w:color="auto" w:sz="4" w:space="0"/>
            </w:tcBorders>
            <w:shd w:val="clear" w:color="auto" w:fill="auto"/>
            <w:vAlign w:val="center"/>
          </w:tcPr>
          <w:p w14:paraId="50BA7BC2">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2023</w:t>
            </w:r>
            <w:r>
              <w:rPr>
                <w:rFonts w:hint="eastAsia" w:ascii="仿宋" w:hAnsi="仿宋" w:eastAsia="仿宋" w:cs="仿宋"/>
                <w:color w:val="000000"/>
                <w:kern w:val="0"/>
                <w:sz w:val="32"/>
                <w:szCs w:val="32"/>
                <w:lang w:val="en-US" w:eastAsia="zh-CN" w:bidi="ar-SA"/>
              </w:rPr>
              <w:t>年度财政拨款年初预算数</w:t>
            </w: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14:paraId="0045CEBA">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2024</w:t>
            </w:r>
            <w:r>
              <w:rPr>
                <w:rFonts w:hint="eastAsia" w:ascii="仿宋" w:hAnsi="仿宋" w:eastAsia="仿宋" w:cs="仿宋"/>
                <w:color w:val="000000"/>
                <w:kern w:val="0"/>
                <w:sz w:val="32"/>
                <w:szCs w:val="32"/>
                <w:lang w:val="en-US" w:eastAsia="zh-CN" w:bidi="ar-SA"/>
              </w:rPr>
              <w:t>年度财政拨款年初预算数</w:t>
            </w:r>
          </w:p>
        </w:tc>
        <w:tc>
          <w:tcPr>
            <w:tcW w:w="1002" w:type="dxa"/>
            <w:tcBorders>
              <w:top w:val="single" w:color="auto" w:sz="4" w:space="0"/>
              <w:left w:val="single" w:color="auto" w:sz="4" w:space="0"/>
              <w:bottom w:val="single" w:color="auto" w:sz="4" w:space="0"/>
              <w:right w:val="single" w:color="auto" w:sz="4" w:space="0"/>
            </w:tcBorders>
            <w:shd w:val="clear" w:color="auto" w:fill="auto"/>
            <w:vAlign w:val="center"/>
          </w:tcPr>
          <w:p w14:paraId="0F82BB1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变动情况</w:t>
            </w:r>
          </w:p>
        </w:tc>
        <w:tc>
          <w:tcPr>
            <w:tcW w:w="1679" w:type="dxa"/>
            <w:tcBorders>
              <w:top w:val="single" w:color="auto" w:sz="4" w:space="0"/>
              <w:left w:val="single" w:color="auto" w:sz="4" w:space="0"/>
              <w:bottom w:val="single" w:color="auto" w:sz="4" w:space="0"/>
              <w:right w:val="single" w:color="auto" w:sz="4" w:space="0"/>
            </w:tcBorders>
            <w:shd w:val="clear" w:color="auto" w:fill="auto"/>
            <w:vAlign w:val="center"/>
          </w:tcPr>
          <w:p w14:paraId="4FE46073">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2023</w:t>
            </w:r>
            <w:r>
              <w:rPr>
                <w:rFonts w:hint="eastAsia" w:ascii="仿宋" w:hAnsi="仿宋" w:eastAsia="仿宋" w:cs="仿宋"/>
                <w:color w:val="000000"/>
                <w:kern w:val="0"/>
                <w:sz w:val="32"/>
                <w:szCs w:val="32"/>
                <w:lang w:val="en-US" w:eastAsia="zh-CN" w:bidi="ar-SA"/>
              </w:rPr>
              <w:t>年度财政拨款预算执行数</w:t>
            </w:r>
          </w:p>
        </w:tc>
        <w:tc>
          <w:tcPr>
            <w:tcW w:w="1215" w:type="dxa"/>
            <w:tcBorders>
              <w:top w:val="single" w:color="auto" w:sz="4" w:space="0"/>
              <w:left w:val="single" w:color="auto" w:sz="4" w:space="0"/>
              <w:bottom w:val="single" w:color="auto" w:sz="4" w:space="0"/>
              <w:right w:val="single" w:color="auto" w:sz="4" w:space="0"/>
            </w:tcBorders>
            <w:shd w:val="clear" w:color="auto" w:fill="auto"/>
            <w:vAlign w:val="center"/>
          </w:tcPr>
          <w:p w14:paraId="17B875AE">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2024</w:t>
            </w:r>
            <w:r>
              <w:rPr>
                <w:rFonts w:hint="eastAsia" w:ascii="仿宋" w:hAnsi="仿宋" w:eastAsia="仿宋" w:cs="仿宋"/>
                <w:color w:val="000000"/>
                <w:kern w:val="0"/>
                <w:sz w:val="32"/>
                <w:szCs w:val="32"/>
                <w:lang w:val="en-US" w:eastAsia="zh-CN" w:bidi="ar-SA"/>
              </w:rPr>
              <w:t>年度财政拨款预算执行数</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14:paraId="05F12C36">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变动情况</w:t>
            </w:r>
          </w:p>
        </w:tc>
      </w:tr>
      <w:tr w14:paraId="6220F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5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1D7DCB2">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1</w:t>
            </w:r>
          </w:p>
        </w:tc>
        <w:tc>
          <w:tcPr>
            <w:tcW w:w="1515" w:type="dxa"/>
            <w:tcBorders>
              <w:top w:val="single" w:color="auto" w:sz="4" w:space="0"/>
              <w:left w:val="single" w:color="auto" w:sz="4" w:space="0"/>
              <w:bottom w:val="single" w:color="auto" w:sz="4" w:space="0"/>
              <w:right w:val="single" w:color="auto" w:sz="4" w:space="0"/>
            </w:tcBorders>
            <w:shd w:val="clear" w:color="auto" w:fill="auto"/>
            <w:vAlign w:val="bottom"/>
          </w:tcPr>
          <w:p w14:paraId="4B4067F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“三公”经费</w:t>
            </w:r>
          </w:p>
        </w:tc>
        <w:tc>
          <w:tcPr>
            <w:tcW w:w="147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3C82652">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184.28</w:t>
            </w:r>
          </w:p>
        </w:tc>
        <w:tc>
          <w:tcPr>
            <w:tcW w:w="132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0C8A569">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136.23</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889A621">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减少</w:t>
            </w:r>
          </w:p>
        </w:tc>
        <w:tc>
          <w:tcPr>
            <w:tcW w:w="1679"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A5CA3A5">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220.75</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EC3F243">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110.25</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E1A4138">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减少</w:t>
            </w:r>
          </w:p>
        </w:tc>
      </w:tr>
      <w:tr w14:paraId="4A867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55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4583266">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w:t>
            </w:r>
          </w:p>
        </w:tc>
        <w:tc>
          <w:tcPr>
            <w:tcW w:w="1515" w:type="dxa"/>
            <w:tcBorders>
              <w:top w:val="single" w:color="auto" w:sz="4" w:space="0"/>
              <w:left w:val="single" w:color="auto" w:sz="4" w:space="0"/>
              <w:bottom w:val="single" w:color="auto" w:sz="4" w:space="0"/>
              <w:right w:val="single" w:color="auto" w:sz="4" w:space="0"/>
            </w:tcBorders>
            <w:shd w:val="clear" w:color="auto" w:fill="auto"/>
            <w:vAlign w:val="bottom"/>
          </w:tcPr>
          <w:p w14:paraId="063C26B7">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会议费</w:t>
            </w:r>
          </w:p>
        </w:tc>
        <w:tc>
          <w:tcPr>
            <w:tcW w:w="147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AA5309A">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32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5DB16D3">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6E0F8FA">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持平</w:t>
            </w:r>
          </w:p>
        </w:tc>
        <w:tc>
          <w:tcPr>
            <w:tcW w:w="1679"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1200BF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7F93BA7">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21C72AD">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持平</w:t>
            </w:r>
          </w:p>
        </w:tc>
      </w:tr>
      <w:tr w14:paraId="4B68B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5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CC3C510">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3</w:t>
            </w:r>
          </w:p>
        </w:tc>
        <w:tc>
          <w:tcPr>
            <w:tcW w:w="1515" w:type="dxa"/>
            <w:tcBorders>
              <w:top w:val="single" w:color="auto" w:sz="4" w:space="0"/>
              <w:left w:val="single" w:color="auto" w:sz="4" w:space="0"/>
              <w:bottom w:val="single" w:color="auto" w:sz="4" w:space="0"/>
              <w:right w:val="single" w:color="auto" w:sz="4" w:space="0"/>
            </w:tcBorders>
            <w:shd w:val="clear" w:color="auto" w:fill="auto"/>
            <w:vAlign w:val="bottom"/>
          </w:tcPr>
          <w:p w14:paraId="149F0665">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培训费</w:t>
            </w:r>
          </w:p>
        </w:tc>
        <w:tc>
          <w:tcPr>
            <w:tcW w:w="147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89201C0">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49.45</w:t>
            </w:r>
          </w:p>
        </w:tc>
        <w:tc>
          <w:tcPr>
            <w:tcW w:w="132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4E06A5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20.04</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0B588F3">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减少</w:t>
            </w:r>
          </w:p>
        </w:tc>
        <w:tc>
          <w:tcPr>
            <w:tcW w:w="1679"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96B82F4">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29.89</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CC39BD5">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3.58</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5A99829">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减少</w:t>
            </w:r>
          </w:p>
        </w:tc>
      </w:tr>
      <w:tr w14:paraId="588F7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5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381C5B0">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4</w:t>
            </w:r>
          </w:p>
        </w:tc>
        <w:tc>
          <w:tcPr>
            <w:tcW w:w="1515" w:type="dxa"/>
            <w:tcBorders>
              <w:top w:val="single" w:color="auto" w:sz="4" w:space="0"/>
              <w:left w:val="single" w:color="auto" w:sz="4" w:space="0"/>
              <w:bottom w:val="single" w:color="auto" w:sz="4" w:space="0"/>
              <w:right w:val="single" w:color="auto" w:sz="4" w:space="0"/>
            </w:tcBorders>
            <w:shd w:val="clear" w:color="auto" w:fill="auto"/>
            <w:vAlign w:val="bottom"/>
          </w:tcPr>
          <w:p w14:paraId="60A2C676">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差旅费</w:t>
            </w:r>
          </w:p>
        </w:tc>
        <w:tc>
          <w:tcPr>
            <w:tcW w:w="147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E1A2C3B">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45.74</w:t>
            </w:r>
          </w:p>
        </w:tc>
        <w:tc>
          <w:tcPr>
            <w:tcW w:w="132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FE15B54">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47.52</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F0AE8D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减少</w:t>
            </w:r>
          </w:p>
        </w:tc>
        <w:tc>
          <w:tcPr>
            <w:tcW w:w="1679"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CBCC79E">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83.01</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8D6CB5D">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83.82</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B39159D">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增加</w:t>
            </w:r>
          </w:p>
        </w:tc>
      </w:tr>
      <w:tr w14:paraId="52AC8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5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0FA952F">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5</w:t>
            </w:r>
          </w:p>
        </w:tc>
        <w:tc>
          <w:tcPr>
            <w:tcW w:w="1515" w:type="dxa"/>
            <w:tcBorders>
              <w:top w:val="single" w:color="auto" w:sz="4" w:space="0"/>
              <w:left w:val="single" w:color="auto" w:sz="4" w:space="0"/>
              <w:bottom w:val="single" w:color="auto" w:sz="4" w:space="0"/>
              <w:right w:val="single" w:color="auto" w:sz="4" w:space="0"/>
            </w:tcBorders>
            <w:shd w:val="clear" w:color="auto" w:fill="auto"/>
            <w:vAlign w:val="bottom"/>
          </w:tcPr>
          <w:p w14:paraId="76922D45">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办节办展经费</w:t>
            </w:r>
          </w:p>
        </w:tc>
        <w:tc>
          <w:tcPr>
            <w:tcW w:w="147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5F13ACF">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32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373EBC6">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3FBFF9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持平</w:t>
            </w:r>
          </w:p>
        </w:tc>
        <w:tc>
          <w:tcPr>
            <w:tcW w:w="1679"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0CACF29">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404461A">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F207BFE">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持平</w:t>
            </w:r>
          </w:p>
        </w:tc>
      </w:tr>
      <w:tr w14:paraId="6CB88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5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CE610EB">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6</w:t>
            </w:r>
          </w:p>
        </w:tc>
        <w:tc>
          <w:tcPr>
            <w:tcW w:w="1515" w:type="dxa"/>
            <w:tcBorders>
              <w:top w:val="single" w:color="auto" w:sz="4" w:space="0"/>
              <w:left w:val="single" w:color="auto" w:sz="4" w:space="0"/>
              <w:bottom w:val="single" w:color="auto" w:sz="4" w:space="0"/>
              <w:right w:val="single" w:color="auto" w:sz="4" w:space="0"/>
            </w:tcBorders>
            <w:shd w:val="clear" w:color="auto" w:fill="auto"/>
            <w:vAlign w:val="bottom"/>
          </w:tcPr>
          <w:p w14:paraId="7BDB3148">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办公设备购置经费</w:t>
            </w:r>
          </w:p>
        </w:tc>
        <w:tc>
          <w:tcPr>
            <w:tcW w:w="147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4CBFAA6">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20</w:t>
            </w:r>
          </w:p>
        </w:tc>
        <w:tc>
          <w:tcPr>
            <w:tcW w:w="1323"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70C8906">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5CF09C0">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减少</w:t>
            </w:r>
          </w:p>
        </w:tc>
        <w:tc>
          <w:tcPr>
            <w:tcW w:w="1679"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E2AA555">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986CECD">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5.39</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4D3983E">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增加</w:t>
            </w:r>
          </w:p>
        </w:tc>
      </w:tr>
      <w:tr w14:paraId="15DAC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55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4B917C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7</w:t>
            </w:r>
          </w:p>
        </w:tc>
        <w:tc>
          <w:tcPr>
            <w:tcW w:w="1515" w:type="dxa"/>
            <w:tcBorders>
              <w:top w:val="single" w:color="auto" w:sz="4" w:space="0"/>
              <w:left w:val="single" w:color="auto" w:sz="4" w:space="0"/>
              <w:bottom w:val="single" w:color="auto" w:sz="4" w:space="0"/>
              <w:right w:val="single" w:color="auto" w:sz="4" w:space="0"/>
            </w:tcBorders>
            <w:shd w:val="clear" w:color="auto" w:fill="auto"/>
            <w:vAlign w:val="center"/>
          </w:tcPr>
          <w:p w14:paraId="4488C481">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信息网络及软件购</w:t>
            </w:r>
            <w:r>
              <w:rPr>
                <w:rFonts w:hint="default" w:ascii="仿宋" w:hAnsi="仿宋" w:eastAsia="仿宋" w:cs="仿宋"/>
                <w:color w:val="000000"/>
                <w:kern w:val="0"/>
                <w:sz w:val="32"/>
                <w:szCs w:val="32"/>
                <w:lang w:val="en-US" w:eastAsia="zh-CN" w:bidi="ar-SA"/>
              </w:rPr>
              <w:br w:type="textWrapping"/>
            </w:r>
            <w:r>
              <w:rPr>
                <w:rFonts w:hint="default" w:ascii="仿宋" w:hAnsi="仿宋" w:eastAsia="仿宋" w:cs="仿宋"/>
                <w:color w:val="000000"/>
                <w:kern w:val="0"/>
                <w:sz w:val="32"/>
                <w:szCs w:val="32"/>
                <w:lang w:val="en-US" w:eastAsia="zh-CN" w:bidi="ar-SA"/>
              </w:rPr>
              <w:t>置更新经费</w:t>
            </w:r>
          </w:p>
        </w:tc>
        <w:tc>
          <w:tcPr>
            <w:tcW w:w="14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F12F03">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3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E870D7">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7E056D">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减少</w:t>
            </w:r>
          </w:p>
        </w:tc>
        <w:tc>
          <w:tcPr>
            <w:tcW w:w="167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0BD0B4">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48502E">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A85FE7">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持平</w:t>
            </w:r>
          </w:p>
        </w:tc>
      </w:tr>
      <w:tr w14:paraId="47A68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5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7FCA8BB">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8</w:t>
            </w:r>
          </w:p>
        </w:tc>
        <w:tc>
          <w:tcPr>
            <w:tcW w:w="1515" w:type="dxa"/>
            <w:tcBorders>
              <w:top w:val="single" w:color="auto" w:sz="4" w:space="0"/>
              <w:left w:val="single" w:color="auto" w:sz="4" w:space="0"/>
              <w:bottom w:val="single" w:color="auto" w:sz="4" w:space="0"/>
              <w:right w:val="single" w:color="auto" w:sz="4" w:space="0"/>
            </w:tcBorders>
            <w:shd w:val="clear" w:color="auto" w:fill="auto"/>
            <w:vAlign w:val="center"/>
          </w:tcPr>
          <w:p w14:paraId="02E21D68">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课题经费</w:t>
            </w:r>
          </w:p>
        </w:tc>
        <w:tc>
          <w:tcPr>
            <w:tcW w:w="14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14B449">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3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26EC19">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B4E061">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减少</w:t>
            </w:r>
          </w:p>
        </w:tc>
        <w:tc>
          <w:tcPr>
            <w:tcW w:w="167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939064">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DBDFA9">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7CEBB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持平</w:t>
            </w:r>
          </w:p>
        </w:tc>
      </w:tr>
      <w:tr w14:paraId="1EE02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5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41DE74F">
            <w:pPr>
              <w:keepNext w:val="0"/>
              <w:keepLines w:val="0"/>
              <w:pageBreakBefore w:val="0"/>
              <w:widowControl/>
              <w:suppressLineNumbers w:val="0"/>
              <w:kinsoku/>
              <w:wordWrap/>
              <w:overflowPunct/>
              <w:topLinePunct w:val="0"/>
              <w:autoSpaceDE/>
              <w:autoSpaceDN/>
              <w:bidi w:val="0"/>
              <w:spacing w:line="480" w:lineRule="exact"/>
              <w:jc w:val="center"/>
              <w:textAlignment w:val="bottom"/>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9</w:t>
            </w:r>
          </w:p>
        </w:tc>
        <w:tc>
          <w:tcPr>
            <w:tcW w:w="1515" w:type="dxa"/>
            <w:tcBorders>
              <w:top w:val="single" w:color="auto" w:sz="4" w:space="0"/>
              <w:left w:val="single" w:color="auto" w:sz="4" w:space="0"/>
              <w:bottom w:val="single" w:color="auto" w:sz="4" w:space="0"/>
              <w:right w:val="single" w:color="auto" w:sz="4" w:space="0"/>
            </w:tcBorders>
            <w:shd w:val="clear" w:color="auto" w:fill="auto"/>
            <w:vAlign w:val="center"/>
          </w:tcPr>
          <w:p w14:paraId="1D72AF90">
            <w:pPr>
              <w:keepNext w:val="0"/>
              <w:keepLines w:val="0"/>
              <w:pageBreakBefore w:val="0"/>
              <w:widowControl/>
              <w:suppressLineNumbers w:val="0"/>
              <w:kinsoku/>
              <w:wordWrap/>
              <w:overflowPunct/>
              <w:topLinePunct w:val="0"/>
              <w:autoSpaceDE/>
              <w:autoSpaceDN/>
              <w:bidi w:val="0"/>
              <w:spacing w:line="480" w:lineRule="exact"/>
              <w:ind w:left="0" w:leftChars="0" w:firstLine="0" w:firstLineChars="0"/>
              <w:jc w:val="center"/>
              <w:textAlignment w:val="bottom"/>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合计</w:t>
            </w:r>
          </w:p>
        </w:tc>
        <w:tc>
          <w:tcPr>
            <w:tcW w:w="14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75EAC6">
            <w:pPr>
              <w:keepNext w:val="0"/>
              <w:keepLines w:val="0"/>
              <w:pageBreakBefore w:val="0"/>
              <w:widowControl/>
              <w:suppressLineNumbers w:val="0"/>
              <w:kinsoku/>
              <w:wordWrap/>
              <w:overflowPunct/>
              <w:topLinePunct w:val="0"/>
              <w:autoSpaceDE/>
              <w:autoSpaceDN/>
              <w:bidi w:val="0"/>
              <w:spacing w:line="480" w:lineRule="exact"/>
              <w:ind w:left="0" w:leftChars="0" w:firstLine="0" w:firstLineChars="0"/>
              <w:jc w:val="center"/>
              <w:textAlignment w:val="bottom"/>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299.48</w:t>
            </w:r>
          </w:p>
        </w:tc>
        <w:tc>
          <w:tcPr>
            <w:tcW w:w="13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806945">
            <w:pPr>
              <w:keepNext w:val="0"/>
              <w:keepLines w:val="0"/>
              <w:pageBreakBefore w:val="0"/>
              <w:widowControl/>
              <w:suppressLineNumbers w:val="0"/>
              <w:kinsoku/>
              <w:wordWrap/>
              <w:overflowPunct/>
              <w:topLinePunct w:val="0"/>
              <w:autoSpaceDE/>
              <w:autoSpaceDN/>
              <w:bidi w:val="0"/>
              <w:spacing w:line="480" w:lineRule="exact"/>
              <w:ind w:left="0" w:leftChars="0" w:firstLine="0" w:firstLineChars="0"/>
              <w:jc w:val="center"/>
              <w:textAlignment w:val="bottom"/>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203.79</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6CDECA">
            <w:pPr>
              <w:keepNext w:val="0"/>
              <w:keepLines w:val="0"/>
              <w:pageBreakBefore w:val="0"/>
              <w:widowControl/>
              <w:suppressLineNumbers w:val="0"/>
              <w:kinsoku/>
              <w:wordWrap/>
              <w:overflowPunct/>
              <w:topLinePunct w:val="0"/>
              <w:autoSpaceDE/>
              <w:autoSpaceDN/>
              <w:bidi w:val="0"/>
              <w:spacing w:line="480" w:lineRule="exact"/>
              <w:ind w:left="0" w:leftChars="0" w:firstLine="0" w:firstLineChars="0"/>
              <w:jc w:val="center"/>
              <w:textAlignment w:val="bottom"/>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减少</w:t>
            </w:r>
          </w:p>
        </w:tc>
        <w:tc>
          <w:tcPr>
            <w:tcW w:w="167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D2D792">
            <w:pPr>
              <w:keepNext w:val="0"/>
              <w:keepLines w:val="0"/>
              <w:pageBreakBefore w:val="0"/>
              <w:widowControl/>
              <w:suppressLineNumbers w:val="0"/>
              <w:kinsoku/>
              <w:wordWrap/>
              <w:overflowPunct/>
              <w:topLinePunct w:val="0"/>
              <w:autoSpaceDE/>
              <w:autoSpaceDN/>
              <w:bidi w:val="0"/>
              <w:spacing w:line="480" w:lineRule="exact"/>
              <w:ind w:left="0" w:leftChars="0" w:firstLine="0" w:firstLineChars="0"/>
              <w:jc w:val="center"/>
              <w:textAlignment w:val="bottom"/>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333.65</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245079">
            <w:pPr>
              <w:keepNext w:val="0"/>
              <w:keepLines w:val="0"/>
              <w:pageBreakBefore w:val="0"/>
              <w:widowControl/>
              <w:suppressLineNumbers w:val="0"/>
              <w:kinsoku/>
              <w:wordWrap/>
              <w:overflowPunct/>
              <w:topLinePunct w:val="0"/>
              <w:autoSpaceDE/>
              <w:autoSpaceDN/>
              <w:bidi w:val="0"/>
              <w:spacing w:line="480" w:lineRule="exact"/>
              <w:ind w:left="0" w:leftChars="0" w:firstLine="0" w:firstLineChars="0"/>
              <w:jc w:val="center"/>
              <w:textAlignment w:val="bottom"/>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203.04</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883DAB">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减少</w:t>
            </w:r>
          </w:p>
        </w:tc>
      </w:tr>
    </w:tbl>
    <w:p w14:paraId="63F0A17B">
      <w:pPr>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一般性支出财政拨款年初预算较上年减少，一般性支出财政拨款预算执行数较上年减少，但差旅费、办公费超2024年年初预算；公用经费调整使用多造成财政支出绩效过程管理不规范。</w:t>
      </w:r>
    </w:p>
    <w:p w14:paraId="5C669024">
      <w:pPr>
        <w:pageBreakBefore w:val="0"/>
        <w:widowControl w:val="0"/>
        <w:kinsoku/>
        <w:wordWrap/>
        <w:overflowPunct/>
        <w:topLinePunct w:val="0"/>
        <w:autoSpaceDE/>
        <w:autoSpaceDN/>
        <w:bidi w:val="0"/>
        <w:adjustRightInd/>
        <w:snapToGrid/>
        <w:spacing w:line="480" w:lineRule="exact"/>
        <w:textAlignment w:val="auto"/>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根据评分标准，该项指标扣</w:t>
      </w:r>
      <w:r>
        <w:rPr>
          <w:rFonts w:hint="eastAsia" w:ascii="仿宋" w:hAnsi="仿宋" w:eastAsia="仿宋" w:cs="仿宋"/>
          <w:color w:val="000000"/>
          <w:kern w:val="0"/>
          <w:sz w:val="32"/>
          <w:szCs w:val="32"/>
          <w:lang w:val="en-US" w:eastAsia="zh-CN" w:bidi="ar-SA"/>
        </w:rPr>
        <w:t>2</w:t>
      </w:r>
      <w:r>
        <w:rPr>
          <w:rFonts w:hint="default" w:ascii="仿宋" w:hAnsi="仿宋" w:eastAsia="仿宋" w:cs="仿宋"/>
          <w:color w:val="000000"/>
          <w:kern w:val="0"/>
          <w:sz w:val="32"/>
          <w:szCs w:val="32"/>
          <w:lang w:val="en-US" w:eastAsia="zh-CN" w:bidi="ar-SA"/>
        </w:rPr>
        <w:t>分，得</w:t>
      </w:r>
      <w:r>
        <w:rPr>
          <w:rFonts w:hint="eastAsia" w:ascii="仿宋" w:hAnsi="仿宋" w:eastAsia="仿宋" w:cs="仿宋"/>
          <w:color w:val="000000"/>
          <w:kern w:val="0"/>
          <w:sz w:val="32"/>
          <w:szCs w:val="32"/>
          <w:lang w:val="en-US" w:eastAsia="zh-CN" w:bidi="ar-SA"/>
        </w:rPr>
        <w:t>3</w:t>
      </w:r>
      <w:r>
        <w:rPr>
          <w:rFonts w:hint="default" w:ascii="仿宋" w:hAnsi="仿宋" w:eastAsia="仿宋" w:cs="仿宋"/>
          <w:color w:val="000000"/>
          <w:kern w:val="0"/>
          <w:sz w:val="32"/>
          <w:szCs w:val="32"/>
          <w:lang w:val="en-US" w:eastAsia="zh-CN" w:bidi="ar-SA"/>
        </w:rPr>
        <w:t>分。</w:t>
      </w:r>
    </w:p>
    <w:p w14:paraId="32CB331C">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en-US" w:eastAsia="zh-CN" w:bidi="ar-SA"/>
        </w:rPr>
        <w:t>3</w:t>
      </w: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zh-CN" w:eastAsia="zh-CN" w:bidi="ar-SA"/>
        </w:rPr>
        <w:t>财务管理</w:t>
      </w:r>
    </w:p>
    <w:p w14:paraId="4C1EC9DA">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zh-CN" w:eastAsia="zh-CN" w:bidi="ar-SA"/>
        </w:rPr>
        <w:t>（1）财务管理制度</w:t>
      </w:r>
    </w:p>
    <w:p w14:paraId="15E81E68">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zh-CN" w:eastAsia="zh-CN" w:bidi="ar-SA"/>
        </w:rPr>
      </w:pPr>
      <w:r>
        <w:rPr>
          <w:rFonts w:hint="eastAsia" w:ascii="仿宋" w:hAnsi="仿宋" w:eastAsia="仿宋" w:cs="仿宋"/>
          <w:color w:val="000000"/>
          <w:kern w:val="0"/>
          <w:sz w:val="32"/>
          <w:szCs w:val="32"/>
          <w:lang w:val="zh-CN" w:eastAsia="zh-CN" w:bidi="ar-SA"/>
        </w:rPr>
        <w:t>为加强和规范本单位内部控制管理水平和风险防范能力，健全规范内部控制机制，加强廉政风险防控机制建设，本单位2024年在对预算、收支、政府采购、资产、建设项目、合同等各类经济业务活动流程梳理的基础上，依据《中华人民共和国会计法》《中华人民共和国预算法》《中华人民共和国政府采购法》《政府会计制度》《行政事业单位内部控制规范（试行）》《关于全面推进行政事业单位内部控制建设的指导意见》（财会〔2015〕24号）、《四川省财政厅关于印发〈四川省省级行政事业单位内部控制建设指引〉的通知》（川财会〔2019〕37号）等文件编制了《财务内部控制制度》，部门内部财务管理制度等制度机制建立健全，制度得到有效执行。</w:t>
      </w:r>
    </w:p>
    <w:p w14:paraId="3D35C902">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zh-CN" w:eastAsia="zh-CN" w:bidi="ar-SA"/>
        </w:rPr>
      </w:pPr>
      <w:r>
        <w:rPr>
          <w:rFonts w:hint="eastAsia" w:ascii="仿宋" w:hAnsi="仿宋" w:eastAsia="仿宋" w:cs="仿宋"/>
          <w:color w:val="000000"/>
          <w:kern w:val="0"/>
          <w:sz w:val="32"/>
          <w:szCs w:val="32"/>
          <w:lang w:val="zh-CN" w:eastAsia="zh-CN" w:bidi="ar-SA"/>
        </w:rPr>
        <w:t>根据评分标准，该项指标不扣分，得4分。</w:t>
      </w:r>
    </w:p>
    <w:p w14:paraId="7E7FDA5E">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zh-CN" w:eastAsia="zh-CN" w:bidi="ar-SA"/>
        </w:rPr>
        <w:t>（2）财务岗位设置</w:t>
      </w:r>
    </w:p>
    <w:p w14:paraId="1F041299">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zh-CN" w:eastAsia="zh-CN" w:bidi="ar-SA"/>
        </w:rPr>
      </w:pPr>
      <w:r>
        <w:rPr>
          <w:rFonts w:hint="eastAsia" w:ascii="仿宋" w:hAnsi="仿宋" w:eastAsia="仿宋" w:cs="仿宋"/>
          <w:color w:val="000000"/>
          <w:kern w:val="0"/>
          <w:sz w:val="32"/>
          <w:szCs w:val="32"/>
          <w:lang w:val="zh-CN" w:eastAsia="zh-CN" w:bidi="ar-SA"/>
        </w:rPr>
        <w:t>本单位按照《中华人民共和国会计法》《中华人民共和国预算法》等相关法律，合理设置了单位财务岗位，明确了各岗位职责权限确保工作有序进行，同时，本单位制定的《财务内部控制制度》明确表示了财务收支统一核算管理，会计和出纳岗位分设，出纳人员不得兼管审核、会计档案保管，在财务实际设置过程中，做到了将会计与出纳、审核与执行等岗位分离，形成了相互制约、监督的机制，进而增强了财务数据的准确性，提升了内部控制效能，确保了财务工作的高效与透明。</w:t>
      </w:r>
    </w:p>
    <w:p w14:paraId="4A3B1E5D">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zh-CN" w:eastAsia="zh-CN" w:bidi="ar-SA"/>
        </w:rPr>
      </w:pPr>
      <w:r>
        <w:rPr>
          <w:rFonts w:hint="eastAsia" w:ascii="仿宋" w:hAnsi="仿宋" w:eastAsia="仿宋" w:cs="仿宋"/>
          <w:color w:val="000000"/>
          <w:kern w:val="0"/>
          <w:sz w:val="32"/>
          <w:szCs w:val="32"/>
          <w:lang w:val="zh-CN" w:eastAsia="zh-CN" w:bidi="ar-SA"/>
        </w:rPr>
        <w:t>根据评分标准，该项指标不扣分，得2分。</w:t>
      </w:r>
    </w:p>
    <w:p w14:paraId="5DB515A3">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zh-CN" w:eastAsia="zh-CN" w:bidi="ar-SA"/>
        </w:rPr>
        <w:t>（3）资金使用规范</w:t>
      </w:r>
    </w:p>
    <w:p w14:paraId="3220EB0B">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zh-CN" w:eastAsia="zh-CN" w:bidi="ar-SA"/>
        </w:rPr>
      </w:pPr>
      <w:r>
        <w:rPr>
          <w:rFonts w:hint="eastAsia" w:ascii="仿宋" w:hAnsi="仿宋" w:eastAsia="仿宋" w:cs="仿宋"/>
          <w:color w:val="000000"/>
          <w:kern w:val="0"/>
          <w:sz w:val="32"/>
          <w:szCs w:val="32"/>
          <w:lang w:val="zh-CN" w:eastAsia="zh-CN" w:bidi="ar-SA"/>
        </w:rPr>
        <w:t>本单位严格按照已制定的内部控制制度文件和国家财经法规要求使用资金，资金使用符合相关财务管理制度规定，资金的拨付有完整的审批程序和手续，对项目的重大开支进行了评估论证，资金使用符合部门预算批复的用途，不存在截留、挤占、挪用、虚列支出等情况。</w:t>
      </w:r>
    </w:p>
    <w:p w14:paraId="74C597AC">
      <w:pPr>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color w:val="000000"/>
          <w:kern w:val="0"/>
          <w:sz w:val="32"/>
          <w:szCs w:val="32"/>
          <w:lang w:val="zh-CN" w:eastAsia="zh-CN" w:bidi="ar-SA"/>
        </w:rPr>
      </w:pPr>
      <w:r>
        <w:rPr>
          <w:rFonts w:hint="eastAsia" w:ascii="仿宋" w:hAnsi="仿宋" w:eastAsia="仿宋" w:cs="仿宋"/>
          <w:color w:val="000000"/>
          <w:kern w:val="0"/>
          <w:sz w:val="32"/>
          <w:szCs w:val="32"/>
          <w:lang w:val="zh-CN" w:eastAsia="zh-CN" w:bidi="ar-SA"/>
        </w:rPr>
        <w:t>根据评分标准，该项指标不扣分，得4分。</w:t>
      </w:r>
    </w:p>
    <w:p w14:paraId="35B74092">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en-US" w:eastAsia="zh-CN" w:bidi="ar-SA"/>
        </w:rPr>
        <w:t>4．</w:t>
      </w:r>
      <w:r>
        <w:rPr>
          <w:rFonts w:hint="eastAsia" w:ascii="黑体" w:hAnsi="黑体" w:eastAsia="黑体" w:cs="黑体"/>
          <w:b w:val="0"/>
          <w:bCs w:val="0"/>
          <w:color w:val="000000"/>
          <w:kern w:val="0"/>
          <w:sz w:val="32"/>
          <w:szCs w:val="32"/>
          <w:lang w:val="zh-CN" w:eastAsia="zh-CN" w:bidi="ar-SA"/>
        </w:rPr>
        <w:t>资产管理</w:t>
      </w:r>
    </w:p>
    <w:p w14:paraId="626A5EC5">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zh-CN" w:eastAsia="zh-CN" w:bidi="ar-SA"/>
        </w:rPr>
        <w:t>（1）人均资产变化率</w:t>
      </w:r>
    </w:p>
    <w:p w14:paraId="14DFF57F">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zh-CN" w:eastAsia="zh-CN" w:bidi="ar-SA"/>
        </w:rPr>
      </w:pPr>
      <w:r>
        <w:rPr>
          <w:rFonts w:hint="eastAsia" w:ascii="仿宋" w:hAnsi="仿宋" w:eastAsia="仿宋" w:cs="仿宋"/>
          <w:color w:val="000000"/>
          <w:kern w:val="0"/>
          <w:sz w:val="32"/>
          <w:szCs w:val="32"/>
          <w:lang w:val="zh-CN" w:eastAsia="zh-CN" w:bidi="ar-SA"/>
        </w:rPr>
        <w:t>本单位2023年末实有在编在职人数为</w:t>
      </w:r>
      <w:r>
        <w:rPr>
          <w:rFonts w:hint="eastAsia" w:ascii="仿宋" w:hAnsi="仿宋" w:eastAsia="仿宋" w:cs="仿宋"/>
          <w:color w:val="000000"/>
          <w:kern w:val="0"/>
          <w:sz w:val="32"/>
          <w:szCs w:val="32"/>
          <w:lang w:val="en-US" w:eastAsia="zh-CN" w:bidi="ar-SA"/>
        </w:rPr>
        <w:t>80</w:t>
      </w:r>
      <w:r>
        <w:rPr>
          <w:rFonts w:hint="eastAsia" w:ascii="仿宋" w:hAnsi="仿宋" w:eastAsia="仿宋" w:cs="仿宋"/>
          <w:color w:val="000000"/>
          <w:kern w:val="0"/>
          <w:sz w:val="32"/>
          <w:szCs w:val="32"/>
          <w:lang w:val="zh-CN" w:eastAsia="zh-CN" w:bidi="ar-SA"/>
        </w:rPr>
        <w:t>人，固定资产和无形资产期末账面值净值合计</w:t>
      </w:r>
      <w:r>
        <w:rPr>
          <w:rFonts w:hint="eastAsia" w:ascii="仿宋" w:hAnsi="仿宋" w:eastAsia="仿宋" w:cs="仿宋"/>
          <w:color w:val="000000"/>
          <w:kern w:val="0"/>
          <w:sz w:val="32"/>
          <w:szCs w:val="32"/>
          <w:lang w:val="en-US" w:eastAsia="zh-CN" w:bidi="ar-SA"/>
        </w:rPr>
        <w:t>14,110.50</w:t>
      </w:r>
      <w:r>
        <w:rPr>
          <w:rFonts w:hint="eastAsia" w:ascii="仿宋" w:hAnsi="仿宋" w:eastAsia="仿宋" w:cs="仿宋"/>
          <w:color w:val="000000"/>
          <w:kern w:val="0"/>
          <w:sz w:val="32"/>
          <w:szCs w:val="32"/>
          <w:lang w:val="zh-CN" w:eastAsia="zh-CN" w:bidi="ar-SA"/>
        </w:rPr>
        <w:t>万元；2024年末实有在职在编人数为</w:t>
      </w:r>
      <w:r>
        <w:rPr>
          <w:rFonts w:hint="eastAsia" w:ascii="仿宋" w:hAnsi="仿宋" w:eastAsia="仿宋" w:cs="仿宋"/>
          <w:color w:val="000000"/>
          <w:kern w:val="0"/>
          <w:sz w:val="32"/>
          <w:szCs w:val="32"/>
          <w:lang w:val="en-US" w:eastAsia="zh-CN" w:bidi="ar-SA"/>
        </w:rPr>
        <w:t>79</w:t>
      </w:r>
      <w:r>
        <w:rPr>
          <w:rFonts w:hint="eastAsia" w:ascii="仿宋" w:hAnsi="仿宋" w:eastAsia="仿宋" w:cs="仿宋"/>
          <w:color w:val="000000"/>
          <w:kern w:val="0"/>
          <w:sz w:val="32"/>
          <w:szCs w:val="32"/>
          <w:lang w:val="zh-CN" w:eastAsia="zh-CN" w:bidi="ar-SA"/>
        </w:rPr>
        <w:t>人，固定资产和无形资产净值合计</w:t>
      </w:r>
      <w:r>
        <w:rPr>
          <w:rFonts w:hint="eastAsia" w:ascii="仿宋" w:hAnsi="仿宋" w:eastAsia="仿宋" w:cs="仿宋"/>
          <w:color w:val="000000"/>
          <w:kern w:val="0"/>
          <w:sz w:val="32"/>
          <w:szCs w:val="32"/>
          <w:lang w:val="en-US" w:eastAsia="zh-CN" w:bidi="ar-SA"/>
        </w:rPr>
        <w:t>14,110.50</w:t>
      </w:r>
      <w:r>
        <w:rPr>
          <w:rFonts w:hint="eastAsia" w:ascii="仿宋" w:hAnsi="仿宋" w:eastAsia="仿宋" w:cs="仿宋"/>
          <w:color w:val="000000"/>
          <w:kern w:val="0"/>
          <w:sz w:val="32"/>
          <w:szCs w:val="32"/>
          <w:lang w:val="zh-CN" w:eastAsia="zh-CN" w:bidi="ar-SA"/>
        </w:rPr>
        <w:t>万元。人均占有资产及人均资产变化率计算公式分别为“（固定资产净值+无形资产净值)/在职人数、(当年人均资产-上年人均资产)/上年人均资产”。故本单位</w:t>
      </w:r>
      <w:r>
        <w:rPr>
          <w:rFonts w:hint="eastAsia" w:ascii="仿宋" w:hAnsi="仿宋" w:eastAsia="仿宋" w:cs="仿宋"/>
          <w:color w:val="000000"/>
          <w:kern w:val="0"/>
          <w:sz w:val="32"/>
          <w:szCs w:val="32"/>
          <w:lang w:val="en-US" w:eastAsia="zh-CN" w:bidi="ar-SA"/>
        </w:rPr>
        <w:t>2023</w:t>
      </w:r>
      <w:r>
        <w:rPr>
          <w:rFonts w:hint="eastAsia" w:ascii="仿宋" w:hAnsi="仿宋" w:eastAsia="仿宋" w:cs="仿宋"/>
          <w:color w:val="000000"/>
          <w:kern w:val="0"/>
          <w:sz w:val="32"/>
          <w:szCs w:val="32"/>
          <w:lang w:val="zh-CN" w:eastAsia="zh-CN" w:bidi="ar-SA"/>
        </w:rPr>
        <w:t>、2024年人均占有资产分别为</w:t>
      </w:r>
      <w:r>
        <w:rPr>
          <w:rFonts w:hint="eastAsia" w:ascii="仿宋" w:hAnsi="仿宋" w:eastAsia="仿宋" w:cs="仿宋"/>
          <w:color w:val="000000"/>
          <w:kern w:val="0"/>
          <w:sz w:val="32"/>
          <w:szCs w:val="32"/>
          <w:lang w:val="en-US" w:eastAsia="zh-CN" w:bidi="ar-SA"/>
        </w:rPr>
        <w:t>176.38</w:t>
      </w:r>
      <w:r>
        <w:rPr>
          <w:rFonts w:hint="eastAsia" w:ascii="仿宋" w:hAnsi="仿宋" w:eastAsia="仿宋" w:cs="仿宋"/>
          <w:color w:val="000000"/>
          <w:kern w:val="0"/>
          <w:sz w:val="32"/>
          <w:szCs w:val="32"/>
          <w:lang w:val="zh-CN" w:eastAsia="zh-CN" w:bidi="ar-SA"/>
        </w:rPr>
        <w:t>万元/人、</w:t>
      </w:r>
      <w:r>
        <w:rPr>
          <w:rFonts w:hint="eastAsia" w:ascii="仿宋" w:hAnsi="仿宋" w:eastAsia="仿宋" w:cs="仿宋"/>
          <w:color w:val="000000"/>
          <w:kern w:val="0"/>
          <w:sz w:val="32"/>
          <w:szCs w:val="32"/>
          <w:lang w:val="en-US" w:eastAsia="zh-CN" w:bidi="ar-SA"/>
        </w:rPr>
        <w:t>178.61</w:t>
      </w:r>
      <w:r>
        <w:rPr>
          <w:rFonts w:hint="eastAsia" w:ascii="仿宋" w:hAnsi="仿宋" w:eastAsia="仿宋" w:cs="仿宋"/>
          <w:color w:val="000000"/>
          <w:kern w:val="0"/>
          <w:sz w:val="32"/>
          <w:szCs w:val="32"/>
          <w:lang w:val="zh-CN" w:eastAsia="zh-CN" w:bidi="ar-SA"/>
        </w:rPr>
        <w:t>万元/人。</w:t>
      </w:r>
    </w:p>
    <w:p w14:paraId="4310F5A9">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zh-CN" w:eastAsia="zh-CN" w:bidi="ar-SA"/>
        </w:rPr>
        <w:t>综上，2024年本单位人均资产变化率为</w:t>
      </w:r>
      <w:r>
        <w:rPr>
          <w:rFonts w:hint="eastAsia" w:ascii="仿宋" w:hAnsi="仿宋" w:eastAsia="仿宋" w:cs="仿宋"/>
          <w:color w:val="000000"/>
          <w:kern w:val="0"/>
          <w:sz w:val="32"/>
          <w:szCs w:val="32"/>
          <w:lang w:val="en-US" w:eastAsia="zh-CN" w:bidi="ar-SA"/>
        </w:rPr>
        <w:t>1.26</w:t>
      </w:r>
      <w:r>
        <w:rPr>
          <w:rFonts w:hint="eastAsia" w:ascii="仿宋" w:hAnsi="仿宋" w:eastAsia="仿宋" w:cs="仿宋"/>
          <w:color w:val="000000"/>
          <w:kern w:val="0"/>
          <w:sz w:val="32"/>
          <w:szCs w:val="32"/>
          <w:lang w:val="zh-CN" w:eastAsia="zh-CN" w:bidi="ar-SA"/>
        </w:rPr>
        <w:t>%，阿坝州州直行政事业单位2024年人均资产变化率24.28%，2024年本单位人均资产变化率</w:t>
      </w:r>
      <w:r>
        <w:rPr>
          <w:rFonts w:hint="eastAsia" w:ascii="仿宋" w:hAnsi="仿宋" w:eastAsia="仿宋" w:cs="仿宋"/>
          <w:color w:val="000000"/>
          <w:kern w:val="0"/>
          <w:sz w:val="32"/>
          <w:szCs w:val="32"/>
          <w:lang w:val="en-US" w:eastAsia="zh-CN" w:bidi="ar-SA"/>
        </w:rPr>
        <w:t>小于</w:t>
      </w:r>
      <w:r>
        <w:rPr>
          <w:rFonts w:hint="eastAsia" w:ascii="仿宋" w:hAnsi="仿宋" w:eastAsia="仿宋" w:cs="仿宋"/>
          <w:color w:val="000000"/>
          <w:kern w:val="0"/>
          <w:sz w:val="32"/>
          <w:szCs w:val="32"/>
          <w:lang w:val="zh-CN" w:eastAsia="zh-CN" w:bidi="ar-SA"/>
        </w:rPr>
        <w:t>州直行政事业单位人均资产变化率，</w:t>
      </w:r>
      <w:r>
        <w:rPr>
          <w:rFonts w:hint="eastAsia" w:ascii="仿宋" w:hAnsi="仿宋" w:eastAsia="仿宋" w:cs="仿宋"/>
          <w:color w:val="000000"/>
          <w:kern w:val="0"/>
          <w:sz w:val="32"/>
          <w:szCs w:val="32"/>
          <w:lang w:val="en-US" w:eastAsia="zh-CN" w:bidi="ar-SA"/>
        </w:rPr>
        <w:t>得1.5分</w:t>
      </w:r>
      <w:r>
        <w:rPr>
          <w:rFonts w:hint="eastAsia" w:ascii="仿宋" w:hAnsi="仿宋" w:eastAsia="仿宋" w:cs="仿宋"/>
          <w:color w:val="000000"/>
          <w:kern w:val="0"/>
          <w:sz w:val="32"/>
          <w:szCs w:val="32"/>
          <w:lang w:val="zh-CN" w:eastAsia="zh-CN" w:bidi="ar-SA"/>
        </w:rPr>
        <w:t>；</w:t>
      </w:r>
      <w:r>
        <w:rPr>
          <w:rFonts w:hint="eastAsia" w:ascii="仿宋" w:hAnsi="仿宋" w:eastAsia="仿宋" w:cs="仿宋"/>
          <w:color w:val="000000"/>
          <w:kern w:val="0"/>
          <w:sz w:val="32"/>
          <w:szCs w:val="32"/>
          <w:lang w:val="en-US" w:eastAsia="zh-CN" w:bidi="ar-SA"/>
        </w:rPr>
        <w:t>阿坝州</w:t>
      </w:r>
      <w:r>
        <w:rPr>
          <w:rFonts w:hint="eastAsia" w:ascii="仿宋" w:hAnsi="仿宋" w:eastAsia="仿宋" w:cs="仿宋"/>
          <w:color w:val="000000"/>
          <w:kern w:val="0"/>
          <w:sz w:val="32"/>
          <w:szCs w:val="32"/>
          <w:lang w:val="zh-CN" w:eastAsia="zh-CN" w:bidi="ar-SA"/>
        </w:rPr>
        <w:t>州级2024年财政收入增长率</w:t>
      </w:r>
      <w:r>
        <w:rPr>
          <w:rFonts w:hint="eastAsia" w:ascii="仿宋" w:hAnsi="仿宋" w:eastAsia="仿宋" w:cs="仿宋"/>
          <w:color w:val="000000"/>
          <w:kern w:val="0"/>
          <w:sz w:val="32"/>
          <w:szCs w:val="32"/>
          <w:lang w:val="en-US" w:eastAsia="zh-CN" w:bidi="ar-SA"/>
        </w:rPr>
        <w:t>为</w:t>
      </w:r>
      <w:r>
        <w:rPr>
          <w:rFonts w:hint="eastAsia" w:ascii="仿宋" w:hAnsi="仿宋" w:eastAsia="仿宋" w:cs="仿宋"/>
          <w:color w:val="000000"/>
          <w:kern w:val="0"/>
          <w:sz w:val="32"/>
          <w:szCs w:val="32"/>
          <w:lang w:val="zh-CN" w:eastAsia="zh-CN" w:bidi="ar-SA"/>
        </w:rPr>
        <w:t>-30.5%，本单位人均资产变化率</w:t>
      </w:r>
      <w:r>
        <w:rPr>
          <w:rFonts w:hint="eastAsia" w:ascii="仿宋" w:hAnsi="仿宋" w:eastAsia="仿宋" w:cs="仿宋"/>
          <w:color w:val="000000"/>
          <w:kern w:val="0"/>
          <w:sz w:val="32"/>
          <w:szCs w:val="32"/>
          <w:lang w:val="en-US" w:eastAsia="zh-CN" w:bidi="ar-SA"/>
        </w:rPr>
        <w:t>大于2倍</w:t>
      </w:r>
      <w:r>
        <w:rPr>
          <w:rFonts w:hint="eastAsia" w:ascii="仿宋" w:hAnsi="仿宋" w:eastAsia="仿宋" w:cs="仿宋"/>
          <w:color w:val="000000"/>
          <w:kern w:val="0"/>
          <w:sz w:val="32"/>
          <w:szCs w:val="32"/>
          <w:lang w:val="zh-CN" w:eastAsia="zh-CN" w:bidi="ar-SA"/>
        </w:rPr>
        <w:t>州级2024年财政收入增长率</w:t>
      </w:r>
      <w:r>
        <w:rPr>
          <w:rFonts w:hint="eastAsia" w:ascii="仿宋" w:hAnsi="仿宋" w:eastAsia="仿宋" w:cs="仿宋"/>
          <w:color w:val="000000"/>
          <w:kern w:val="0"/>
          <w:sz w:val="32"/>
          <w:szCs w:val="32"/>
          <w:lang w:val="en-US" w:eastAsia="zh-CN" w:bidi="ar-SA"/>
        </w:rPr>
        <w:t>，不得分。</w:t>
      </w:r>
    </w:p>
    <w:p w14:paraId="3E854368">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zh-CN" w:eastAsia="zh-CN" w:bidi="ar-SA"/>
        </w:rPr>
        <w:t>根据评分标准，该项指标</w:t>
      </w:r>
      <w:r>
        <w:rPr>
          <w:rFonts w:hint="eastAsia" w:ascii="仿宋" w:hAnsi="仿宋" w:eastAsia="仿宋" w:cs="仿宋"/>
          <w:color w:val="000000"/>
          <w:kern w:val="0"/>
          <w:sz w:val="32"/>
          <w:szCs w:val="32"/>
          <w:lang w:val="en-US" w:eastAsia="zh-CN" w:bidi="ar-SA"/>
        </w:rPr>
        <w:t>不</w:t>
      </w:r>
      <w:r>
        <w:rPr>
          <w:rFonts w:hint="eastAsia" w:ascii="仿宋" w:hAnsi="仿宋" w:eastAsia="仿宋" w:cs="仿宋"/>
          <w:color w:val="000000"/>
          <w:kern w:val="0"/>
          <w:sz w:val="32"/>
          <w:szCs w:val="32"/>
          <w:lang w:val="zh-CN" w:eastAsia="zh-CN" w:bidi="ar-SA"/>
        </w:rPr>
        <w:t>扣分，得</w:t>
      </w:r>
      <w:r>
        <w:rPr>
          <w:rFonts w:hint="eastAsia" w:ascii="仿宋" w:hAnsi="仿宋" w:eastAsia="仿宋" w:cs="仿宋"/>
          <w:color w:val="000000"/>
          <w:kern w:val="0"/>
          <w:sz w:val="32"/>
          <w:szCs w:val="32"/>
          <w:lang w:val="en-US" w:eastAsia="zh-CN" w:bidi="ar-SA"/>
        </w:rPr>
        <w:t>1.5</w:t>
      </w:r>
      <w:r>
        <w:rPr>
          <w:rFonts w:hint="eastAsia" w:ascii="仿宋" w:hAnsi="仿宋" w:eastAsia="仿宋" w:cs="仿宋"/>
          <w:color w:val="000000"/>
          <w:kern w:val="0"/>
          <w:sz w:val="32"/>
          <w:szCs w:val="32"/>
          <w:lang w:val="zh-CN" w:eastAsia="zh-CN" w:bidi="ar-SA"/>
        </w:rPr>
        <w:t>分。</w:t>
      </w:r>
    </w:p>
    <w:p w14:paraId="25916E67">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en-US" w:eastAsia="zh-CN" w:bidi="ar-SA"/>
        </w:rPr>
        <w:t>2</w:t>
      </w:r>
      <w:r>
        <w:rPr>
          <w:rFonts w:hint="eastAsia" w:ascii="黑体" w:hAnsi="黑体" w:eastAsia="黑体" w:cs="黑体"/>
          <w:b w:val="0"/>
          <w:bCs w:val="0"/>
          <w:color w:val="000000"/>
          <w:kern w:val="0"/>
          <w:sz w:val="32"/>
          <w:szCs w:val="32"/>
          <w:lang w:val="en-US" w:eastAsia="zh-CN" w:bidi="ar-SA"/>
        </w:rPr>
        <w:t>）资产利用率</w:t>
      </w:r>
    </w:p>
    <w:p w14:paraId="54CF1323">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2024年办公家具账面价值为212.73万元，超最低使用年限的办公家具账面价值为144.73万元，故办公家具超最低使用年限资产利用率=超最低使用年限的办公家具账面价值÷办公家具账面价值×100%=68.03%；2024年办公设备账面价值为1,850.95万元，超最低使用年限的办公设备账面价值为1,213.99万元，故办公设备超最低使用年限资产利用率=超最低使用年限的办公设备账面价值÷办公设备账面价值×100%=65.59%。</w:t>
      </w:r>
    </w:p>
    <w:p w14:paraId="74EE4B47">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综上，本单位在资产利用率方面，办公家具和用具超最低使用年限资产利用率大于州直行政事业单位平均值10.03%，得1.5分；办公设备超最低使用年限资产利用率大于州直行政事业单位平均值47.86%，得1.5分。</w:t>
      </w:r>
    </w:p>
    <w:p w14:paraId="2DB00BC1">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根据评分标准，该项指标不扣分，得3分。</w:t>
      </w:r>
    </w:p>
    <w:p w14:paraId="2984034F">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en-US" w:eastAsia="zh-CN" w:bidi="ar-SA"/>
        </w:rPr>
        <w:t>3</w:t>
      </w:r>
      <w:r>
        <w:rPr>
          <w:rFonts w:hint="eastAsia" w:ascii="黑体" w:hAnsi="黑体" w:eastAsia="黑体" w:cs="黑体"/>
          <w:b w:val="0"/>
          <w:bCs w:val="0"/>
          <w:color w:val="000000"/>
          <w:kern w:val="0"/>
          <w:sz w:val="32"/>
          <w:szCs w:val="32"/>
          <w:lang w:val="en-US" w:eastAsia="zh-CN" w:bidi="ar-SA"/>
        </w:rPr>
        <w:t>）资产盘活率</w:t>
      </w:r>
    </w:p>
    <w:p w14:paraId="000B5FF8">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w:t>
      </w:r>
      <w:r>
        <w:rPr>
          <w:rFonts w:hint="default" w:ascii="仿宋" w:hAnsi="仿宋" w:eastAsia="仿宋" w:cs="仿宋"/>
          <w:color w:val="000000"/>
          <w:kern w:val="0"/>
          <w:sz w:val="32"/>
          <w:szCs w:val="32"/>
          <w:lang w:val="en-US" w:eastAsia="zh-CN" w:bidi="ar-SA"/>
        </w:rPr>
        <w:t>2023年、2024年均无闲置资产。自评年度</w:t>
      </w:r>
      <w:r>
        <w:rPr>
          <w:rFonts w:hint="eastAsia" w:ascii="仿宋" w:hAnsi="仿宋" w:eastAsia="仿宋" w:cs="仿宋"/>
          <w:color w:val="000000"/>
          <w:kern w:val="0"/>
          <w:sz w:val="32"/>
          <w:szCs w:val="32"/>
          <w:lang w:val="en-US" w:eastAsia="zh-CN" w:bidi="ar-SA"/>
        </w:rPr>
        <w:t>本单位</w:t>
      </w:r>
      <w:r>
        <w:rPr>
          <w:rFonts w:hint="default" w:ascii="仿宋" w:hAnsi="仿宋" w:eastAsia="仿宋" w:cs="仿宋"/>
          <w:color w:val="000000"/>
          <w:kern w:val="0"/>
          <w:sz w:val="32"/>
          <w:szCs w:val="32"/>
          <w:lang w:val="en-US" w:eastAsia="zh-CN" w:bidi="ar-SA"/>
        </w:rPr>
        <w:t>部门闲置资产占比变化率</w:t>
      </w:r>
      <w:r>
        <w:rPr>
          <w:rFonts w:hint="eastAsia" w:ascii="仿宋" w:hAnsi="仿宋" w:eastAsia="仿宋" w:cs="仿宋"/>
          <w:color w:val="000000"/>
          <w:kern w:val="0"/>
          <w:sz w:val="32"/>
          <w:szCs w:val="32"/>
          <w:lang w:val="en-US" w:eastAsia="zh-CN" w:bidi="ar-SA"/>
        </w:rPr>
        <w:t>为</w:t>
      </w:r>
      <w:r>
        <w:rPr>
          <w:rFonts w:hint="default" w:ascii="仿宋" w:hAnsi="仿宋" w:eastAsia="仿宋" w:cs="仿宋"/>
          <w:color w:val="000000"/>
          <w:kern w:val="0"/>
          <w:sz w:val="32"/>
          <w:szCs w:val="32"/>
          <w:lang w:val="en-US" w:eastAsia="zh-CN" w:bidi="ar-SA"/>
        </w:rPr>
        <w:t>0%。</w:t>
      </w:r>
    </w:p>
    <w:p w14:paraId="761EAEBE">
      <w:pPr>
        <w:keepNext/>
        <w:keepLines/>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根据评分标准，该项指标不扣分，得3分。</w:t>
      </w:r>
    </w:p>
    <w:p w14:paraId="5064B83C">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en-US" w:eastAsia="zh-CN" w:bidi="ar-SA"/>
        </w:rPr>
        <w:t>5</w:t>
      </w: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zh-CN" w:eastAsia="zh-CN" w:bidi="ar-SA"/>
        </w:rPr>
        <w:t>采购管理</w:t>
      </w:r>
    </w:p>
    <w:p w14:paraId="2D96C900">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zh-CN" w:eastAsia="zh-CN" w:bidi="ar-SA"/>
        </w:rPr>
        <w:t>（</w:t>
      </w:r>
      <w:r>
        <w:rPr>
          <w:rFonts w:hint="default" w:ascii="黑体" w:hAnsi="黑体" w:eastAsia="黑体" w:cs="黑体"/>
          <w:b w:val="0"/>
          <w:bCs w:val="0"/>
          <w:color w:val="000000"/>
          <w:kern w:val="0"/>
          <w:sz w:val="32"/>
          <w:szCs w:val="32"/>
          <w:lang w:val="en-US" w:eastAsia="zh-CN" w:bidi="ar-SA"/>
        </w:rPr>
        <w:t>1</w:t>
      </w:r>
      <w:r>
        <w:rPr>
          <w:rFonts w:hint="eastAsia" w:ascii="黑体" w:hAnsi="黑体" w:eastAsia="黑体" w:cs="黑体"/>
          <w:b w:val="0"/>
          <w:bCs w:val="0"/>
          <w:color w:val="000000"/>
          <w:kern w:val="0"/>
          <w:sz w:val="32"/>
          <w:szCs w:val="32"/>
          <w:lang w:val="zh-CN" w:eastAsia="zh-CN" w:bidi="ar-SA"/>
        </w:rPr>
        <w:t>）支持中小企业发展</w:t>
      </w:r>
    </w:p>
    <w:p w14:paraId="4A4F0AC4">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严格执行政府采购促进中小企业发展相关管理办法，对适宜由中小企业提供的采购项目和采购包，预留了采购份额专门面向中小企业采购，并在采购预算中单独列示。2024年，本单位采购预算为275.51万元，政府采购授予中小企业合同金额为227.50万元。采购明细见表3-2。</w:t>
      </w:r>
    </w:p>
    <w:p w14:paraId="1E257C52">
      <w:pPr>
        <w:keepNext w:val="0"/>
        <w:keepLines w:val="0"/>
        <w:pageBreakBefore w:val="0"/>
        <w:widowControl/>
        <w:kinsoku/>
        <w:wordWrap/>
        <w:overflowPunct/>
        <w:topLinePunct w:val="0"/>
        <w:autoSpaceDE/>
        <w:autoSpaceDN/>
        <w:bidi w:val="0"/>
        <w:adjustRightInd w:val="0"/>
        <w:snapToGrid w:val="0"/>
        <w:spacing w:line="480" w:lineRule="exact"/>
        <w:ind w:firstLine="964" w:firstLineChars="300"/>
        <w:contextualSpacing/>
        <w:jc w:val="left"/>
        <w:textAlignment w:val="auto"/>
        <w:outlineLvl w:val="0"/>
        <w:rPr>
          <w:rFonts w:hint="eastAsia" w:ascii="仿宋" w:hAnsi="仿宋" w:eastAsia="仿宋" w:cs="仿宋"/>
          <w:b/>
          <w:bCs/>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SA"/>
        </w:rPr>
        <w:t>表3-2 2024年度部门授予中小企业采购明细</w:t>
      </w:r>
    </w:p>
    <w:p w14:paraId="38C6B841">
      <w:pPr>
        <w:pStyle w:val="16"/>
        <w:pageBreakBefore w:val="0"/>
        <w:kinsoku/>
        <w:wordWrap/>
        <w:overflowPunct/>
        <w:topLinePunct w:val="0"/>
        <w:autoSpaceDE/>
        <w:autoSpaceDN/>
        <w:bidi w:val="0"/>
        <w:spacing w:before="0" w:after="0" w:line="480" w:lineRule="exact"/>
        <w:jc w:val="right"/>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单位：万元</w:t>
      </w:r>
    </w:p>
    <w:tbl>
      <w:tblPr>
        <w:tblStyle w:val="13"/>
        <w:tblW w:w="83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5"/>
        <w:gridCol w:w="2445"/>
        <w:gridCol w:w="1320"/>
        <w:gridCol w:w="1320"/>
        <w:gridCol w:w="2355"/>
      </w:tblGrid>
      <w:tr w14:paraId="6872E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210FE">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序号</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E8091">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项目名称</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09695">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预算金额</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B6424">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中标金额</w:t>
            </w:r>
          </w:p>
        </w:tc>
        <w:tc>
          <w:tcPr>
            <w:tcW w:w="2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5471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授与中小企业金额</w:t>
            </w:r>
          </w:p>
        </w:tc>
      </w:tr>
      <w:tr w14:paraId="5B09F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6307D">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1</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65E20">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办公空调采购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A9AC9">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FA9FB">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5.39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E8A16">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p>
        </w:tc>
      </w:tr>
      <w:tr w14:paraId="764BC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18969">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788D8">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办公设备和耗材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E3314">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151D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3</w:t>
            </w:r>
            <w:r>
              <w:rPr>
                <w:rFonts w:hint="eastAsia" w:ascii="仿宋" w:hAnsi="仿宋" w:eastAsia="仿宋" w:cs="仿宋"/>
                <w:color w:val="000000"/>
                <w:kern w:val="0"/>
                <w:sz w:val="32"/>
                <w:szCs w:val="32"/>
                <w:lang w:val="en-US" w:eastAsia="zh-CN" w:bidi="ar-SA"/>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F5FC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p>
        </w:tc>
      </w:tr>
      <w:tr w14:paraId="77F40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0C1AD">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3</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31429">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2024年旅游管理素质提升专题培训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3D3D7">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30</w:t>
            </w:r>
            <w:r>
              <w:rPr>
                <w:rFonts w:hint="eastAsia" w:ascii="仿宋" w:hAnsi="仿宋" w:eastAsia="仿宋" w:cs="仿宋"/>
                <w:color w:val="000000"/>
                <w:kern w:val="0"/>
                <w:sz w:val="32"/>
                <w:szCs w:val="32"/>
                <w:lang w:val="en-US" w:eastAsia="zh-CN" w:bidi="ar-SA"/>
              </w:rPr>
              <w:t>.00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9593A">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29</w:t>
            </w:r>
            <w:r>
              <w:rPr>
                <w:rFonts w:hint="eastAsia" w:ascii="仿宋" w:hAnsi="仿宋" w:eastAsia="仿宋" w:cs="仿宋"/>
                <w:color w:val="000000"/>
                <w:kern w:val="0"/>
                <w:sz w:val="32"/>
                <w:szCs w:val="32"/>
                <w:lang w:val="en-US" w:eastAsia="zh-CN" w:bidi="ar-SA"/>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476F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29</w:t>
            </w:r>
            <w:r>
              <w:rPr>
                <w:rFonts w:hint="eastAsia" w:ascii="仿宋" w:hAnsi="仿宋" w:eastAsia="仿宋" w:cs="仿宋"/>
                <w:color w:val="000000"/>
                <w:kern w:val="0"/>
                <w:sz w:val="32"/>
                <w:szCs w:val="32"/>
                <w:lang w:val="en-US" w:eastAsia="zh-CN" w:bidi="ar-SA"/>
              </w:rPr>
              <w:t>.50</w:t>
            </w:r>
          </w:p>
        </w:tc>
      </w:tr>
      <w:tr w14:paraId="3D8EA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695A1">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4</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C9598">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达古冰川水环境及水循环过程研究项目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FF3AF">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30</w:t>
            </w:r>
            <w:r>
              <w:rPr>
                <w:rFonts w:hint="eastAsia" w:ascii="仿宋" w:hAnsi="仿宋" w:eastAsia="仿宋" w:cs="仿宋"/>
                <w:color w:val="000000"/>
                <w:kern w:val="0"/>
                <w:sz w:val="32"/>
                <w:szCs w:val="32"/>
                <w:lang w:val="en-US" w:eastAsia="zh-CN" w:bidi="ar-SA"/>
              </w:rPr>
              <w:t>.00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0549D">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29</w:t>
            </w:r>
            <w:r>
              <w:rPr>
                <w:rFonts w:hint="eastAsia" w:ascii="仿宋" w:hAnsi="仿宋" w:eastAsia="仿宋" w:cs="仿宋"/>
                <w:color w:val="000000"/>
                <w:kern w:val="0"/>
                <w:sz w:val="32"/>
                <w:szCs w:val="32"/>
                <w:lang w:val="en-US" w:eastAsia="zh-CN" w:bidi="ar-SA"/>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094C8">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p>
        </w:tc>
      </w:tr>
      <w:tr w14:paraId="0A4A5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928DC">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5</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D3FB9">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国产电脑更新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76791">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10</w:t>
            </w:r>
            <w:r>
              <w:rPr>
                <w:rFonts w:hint="eastAsia" w:ascii="仿宋" w:hAnsi="仿宋" w:eastAsia="仿宋" w:cs="仿宋"/>
                <w:color w:val="000000"/>
                <w:kern w:val="0"/>
                <w:sz w:val="32"/>
                <w:szCs w:val="32"/>
                <w:lang w:val="en-US" w:eastAsia="zh-CN" w:bidi="ar-SA"/>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0738A">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9.57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469B8">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p>
        </w:tc>
      </w:tr>
      <w:tr w14:paraId="0FFAF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D6163">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6</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2DA22">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著名画家“画冰川”主题宣传活动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69502">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66CC2">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198.00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8CA19">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198.00</w:t>
            </w:r>
          </w:p>
        </w:tc>
      </w:tr>
      <w:tr w14:paraId="03CD6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2F604">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合计</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07A5">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88F47">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w:t>
            </w:r>
            <w:r>
              <w:rPr>
                <w:rFonts w:hint="eastAsia" w:ascii="仿宋" w:hAnsi="仿宋" w:eastAsia="仿宋" w:cs="仿宋"/>
                <w:color w:val="000000"/>
                <w:kern w:val="0"/>
                <w:sz w:val="32"/>
                <w:szCs w:val="32"/>
                <w:lang w:val="en-US" w:eastAsia="zh-CN" w:bidi="ar-SA"/>
              </w:rPr>
              <w:t>79.16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A456F">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w:t>
            </w:r>
            <w:r>
              <w:rPr>
                <w:rFonts w:hint="eastAsia" w:ascii="仿宋" w:hAnsi="仿宋" w:eastAsia="仿宋" w:cs="仿宋"/>
                <w:color w:val="000000"/>
                <w:kern w:val="0"/>
                <w:sz w:val="32"/>
                <w:szCs w:val="32"/>
                <w:lang w:val="en-US" w:eastAsia="zh-CN" w:bidi="ar-SA"/>
              </w:rPr>
              <w:t>75.51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2027D">
            <w:pPr>
              <w:keepNext w:val="0"/>
              <w:keepLines w:val="0"/>
              <w:pageBreakBefore w:val="0"/>
              <w:widowControl/>
              <w:suppressLineNumbers w:val="0"/>
              <w:kinsoku/>
              <w:wordWrap/>
              <w:overflowPunct/>
              <w:topLinePunct w:val="0"/>
              <w:autoSpaceDE/>
              <w:autoSpaceDN/>
              <w:bidi w:val="0"/>
              <w:adjustRightInd/>
              <w:snapToGrid w:val="0"/>
              <w:spacing w:line="480" w:lineRule="exact"/>
              <w:ind w:firstLine="0" w:firstLineChars="0"/>
              <w:jc w:val="center"/>
              <w:textAlignment w:val="center"/>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2</w:t>
            </w:r>
            <w:r>
              <w:rPr>
                <w:rFonts w:hint="eastAsia" w:ascii="仿宋" w:hAnsi="仿宋" w:eastAsia="仿宋" w:cs="仿宋"/>
                <w:color w:val="000000"/>
                <w:kern w:val="0"/>
                <w:sz w:val="32"/>
                <w:szCs w:val="32"/>
                <w:lang w:val="en-US" w:eastAsia="zh-CN" w:bidi="ar-SA"/>
              </w:rPr>
              <w:t>27.50</w:t>
            </w:r>
          </w:p>
        </w:tc>
      </w:tr>
    </w:tbl>
    <w:p w14:paraId="350154A3">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根据评分标准，该项指标扣1分，得2分。</w:t>
      </w:r>
    </w:p>
    <w:p w14:paraId="18341625">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en-US" w:eastAsia="zh-CN" w:bidi="ar-SA"/>
        </w:rPr>
        <w:t>2</w:t>
      </w:r>
      <w:r>
        <w:rPr>
          <w:rFonts w:hint="eastAsia" w:ascii="黑体" w:hAnsi="黑体" w:eastAsia="黑体" w:cs="黑体"/>
          <w:b w:val="0"/>
          <w:bCs w:val="0"/>
          <w:color w:val="000000"/>
          <w:kern w:val="0"/>
          <w:sz w:val="32"/>
          <w:szCs w:val="32"/>
          <w:lang w:val="en-US" w:eastAsia="zh-CN" w:bidi="ar-SA"/>
        </w:rPr>
        <w:t>）采购执行率</w:t>
      </w:r>
    </w:p>
    <w:p w14:paraId="5C63807C">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本单位2024年度的政府采购总预算数为279.16万元，当年政府采购预算执行数为275.51万元，已完成采购项目节约金额为3.65万元，故本单位采购执行方面采购执行率为100.00%。</w:t>
      </w:r>
    </w:p>
    <w:p w14:paraId="3C8AB36D">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zh-CN" w:eastAsia="zh-CN" w:bidi="ar-SA"/>
        </w:rPr>
      </w:pPr>
      <w:r>
        <w:rPr>
          <w:rFonts w:hint="eastAsia" w:ascii="仿宋" w:hAnsi="仿宋" w:eastAsia="仿宋" w:cs="仿宋"/>
          <w:color w:val="000000"/>
          <w:kern w:val="0"/>
          <w:sz w:val="32"/>
          <w:szCs w:val="32"/>
          <w:lang w:val="en-US" w:eastAsia="zh-CN" w:bidi="ar-SA"/>
        </w:rPr>
        <w:t>根据评分标准，该项指标不扣分，得3分。</w:t>
      </w:r>
    </w:p>
    <w:p w14:paraId="7A6C9F35">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en-US" w:eastAsia="zh-CN" w:bidi="ar-SA"/>
        </w:rPr>
      </w:pPr>
      <w:r>
        <w:rPr>
          <w:rFonts w:hint="default" w:ascii="黑体" w:hAnsi="黑体" w:eastAsia="黑体" w:cs="黑体"/>
          <w:b w:val="0"/>
          <w:bCs w:val="0"/>
          <w:color w:val="000000"/>
          <w:kern w:val="0"/>
          <w:sz w:val="32"/>
          <w:szCs w:val="32"/>
          <w:lang w:val="zh-CN" w:eastAsia="zh-CN" w:bidi="ar-SA"/>
        </w:rPr>
        <w:t>（二）部门预算项目绩效分析</w:t>
      </w:r>
    </w:p>
    <w:p w14:paraId="01932E3C">
      <w:pPr>
        <w:keepNext w:val="0"/>
        <w:keepLines w:val="0"/>
        <w:pageBreakBefore w:val="0"/>
        <w:widowControl w:val="0"/>
        <w:numPr>
          <w:ilvl w:val="0"/>
          <w:numId w:val="0"/>
        </w:numPr>
        <w:shd w:val="clear"/>
        <w:kinsoku/>
        <w:wordWrap/>
        <w:overflowPunct/>
        <w:topLinePunct w:val="0"/>
        <w:autoSpaceDE/>
        <w:autoSpaceDN/>
        <w:bidi w:val="0"/>
        <w:adjustRightInd w:val="0"/>
        <w:snapToGrid w:val="0"/>
        <w:spacing w:line="480" w:lineRule="exact"/>
        <w:ind w:firstLine="640" w:firstLineChars="200"/>
        <w:contextualSpacing/>
        <w:jc w:val="left"/>
        <w:textAlignment w:val="auto"/>
        <w:outlineLvl w:val="9"/>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常年项目绩效分析。</w:t>
      </w:r>
      <w:r>
        <w:rPr>
          <w:rFonts w:hint="default" w:ascii="仿宋" w:hAnsi="仿宋" w:eastAsia="仿宋" w:cs="仿宋"/>
          <w:color w:val="000000"/>
          <w:kern w:val="0"/>
          <w:sz w:val="32"/>
          <w:szCs w:val="32"/>
          <w:lang w:val="zh-CN" w:eastAsia="zh-CN" w:bidi="ar-SA"/>
        </w:rPr>
        <w:t>该类项目总数</w:t>
      </w:r>
      <w:r>
        <w:rPr>
          <w:rFonts w:hint="eastAsia" w:ascii="仿宋" w:hAnsi="仿宋" w:eastAsia="仿宋" w:cs="仿宋"/>
          <w:color w:val="000000"/>
          <w:kern w:val="0"/>
          <w:sz w:val="32"/>
          <w:szCs w:val="32"/>
          <w:lang w:val="en-US" w:eastAsia="zh-CN" w:bidi="ar-SA"/>
        </w:rPr>
        <w:t>37</w:t>
      </w:r>
      <w:r>
        <w:rPr>
          <w:rFonts w:hint="default" w:ascii="仿宋" w:hAnsi="仿宋" w:eastAsia="仿宋" w:cs="仿宋"/>
          <w:color w:val="000000"/>
          <w:kern w:val="0"/>
          <w:sz w:val="32"/>
          <w:szCs w:val="32"/>
          <w:lang w:val="zh-CN" w:eastAsia="zh-CN" w:bidi="ar-SA"/>
        </w:rPr>
        <w:t>个，涉及预算总金额</w:t>
      </w:r>
      <w:r>
        <w:rPr>
          <w:rFonts w:hint="eastAsia" w:ascii="仿宋" w:hAnsi="仿宋" w:eastAsia="仿宋" w:cs="仿宋"/>
          <w:color w:val="000000"/>
          <w:kern w:val="0"/>
          <w:sz w:val="32"/>
          <w:szCs w:val="32"/>
          <w:lang w:val="en-US" w:eastAsia="zh-CN" w:bidi="ar-SA"/>
        </w:rPr>
        <w:t>1,510.25</w:t>
      </w:r>
      <w:r>
        <w:rPr>
          <w:rFonts w:hint="default" w:ascii="仿宋" w:hAnsi="仿宋" w:eastAsia="仿宋" w:cs="仿宋"/>
          <w:color w:val="000000"/>
          <w:kern w:val="0"/>
          <w:sz w:val="32"/>
          <w:szCs w:val="32"/>
          <w:lang w:val="zh-CN" w:eastAsia="zh-CN" w:bidi="ar-SA"/>
        </w:rPr>
        <w:t>万元，1—1</w:t>
      </w:r>
      <w:r>
        <w:rPr>
          <w:rFonts w:hint="default" w:ascii="仿宋" w:hAnsi="仿宋" w:eastAsia="仿宋" w:cs="仿宋"/>
          <w:color w:val="000000"/>
          <w:kern w:val="0"/>
          <w:sz w:val="32"/>
          <w:szCs w:val="32"/>
          <w:lang w:val="en-US" w:eastAsia="zh-CN" w:bidi="ar-SA"/>
        </w:rPr>
        <w:t>2</w:t>
      </w:r>
      <w:r>
        <w:rPr>
          <w:rFonts w:hint="default" w:ascii="仿宋" w:hAnsi="仿宋" w:eastAsia="仿宋" w:cs="仿宋"/>
          <w:color w:val="000000"/>
          <w:kern w:val="0"/>
          <w:sz w:val="32"/>
          <w:szCs w:val="32"/>
          <w:lang w:val="zh-CN" w:eastAsia="zh-CN" w:bidi="ar-SA"/>
        </w:rPr>
        <w:t>月预算执行总体进度为</w:t>
      </w:r>
      <w:r>
        <w:rPr>
          <w:rFonts w:hint="eastAsia" w:ascii="仿宋" w:hAnsi="仿宋" w:eastAsia="仿宋" w:cs="仿宋"/>
          <w:color w:val="000000"/>
          <w:kern w:val="0"/>
          <w:sz w:val="32"/>
          <w:szCs w:val="32"/>
          <w:lang w:val="en-US" w:eastAsia="zh-CN" w:bidi="ar-SA"/>
        </w:rPr>
        <w:t>98.38%</w:t>
      </w:r>
      <w:r>
        <w:rPr>
          <w:rFonts w:hint="eastAsia" w:ascii="仿宋" w:hAnsi="仿宋" w:eastAsia="仿宋" w:cs="仿宋"/>
          <w:color w:val="000000"/>
          <w:kern w:val="0"/>
          <w:sz w:val="32"/>
          <w:szCs w:val="32"/>
          <w:lang w:val="zh-CN" w:eastAsia="zh-CN" w:bidi="ar-SA"/>
        </w:rPr>
        <w:t>，</w:t>
      </w:r>
      <w:r>
        <w:rPr>
          <w:rFonts w:hint="default" w:ascii="仿宋" w:hAnsi="仿宋" w:eastAsia="仿宋" w:cs="仿宋"/>
          <w:color w:val="000000"/>
          <w:kern w:val="0"/>
          <w:sz w:val="32"/>
          <w:szCs w:val="32"/>
          <w:lang w:val="zh-CN" w:eastAsia="zh-CN" w:bidi="ar-SA"/>
        </w:rPr>
        <w:t>其中：预算结余率大于</w:t>
      </w:r>
      <w:r>
        <w:rPr>
          <w:rFonts w:hint="default" w:ascii="仿宋" w:hAnsi="仿宋" w:eastAsia="仿宋" w:cs="仿宋"/>
          <w:color w:val="000000"/>
          <w:kern w:val="0"/>
          <w:sz w:val="32"/>
          <w:szCs w:val="32"/>
          <w:lang w:val="en-US" w:eastAsia="zh-CN" w:bidi="ar-SA"/>
        </w:rPr>
        <w:t>10%</w:t>
      </w:r>
      <w:r>
        <w:rPr>
          <w:rFonts w:hint="default" w:ascii="仿宋" w:hAnsi="仿宋" w:eastAsia="仿宋" w:cs="仿宋"/>
          <w:color w:val="000000"/>
          <w:kern w:val="0"/>
          <w:sz w:val="32"/>
          <w:szCs w:val="32"/>
          <w:lang w:val="zh-CN" w:eastAsia="zh-CN" w:bidi="ar-SA"/>
        </w:rPr>
        <w:t>的项目共计</w:t>
      </w:r>
      <w:r>
        <w:rPr>
          <w:rFonts w:hint="eastAsia" w:ascii="仿宋" w:hAnsi="仿宋" w:eastAsia="仿宋" w:cs="仿宋"/>
          <w:color w:val="000000"/>
          <w:kern w:val="0"/>
          <w:sz w:val="32"/>
          <w:szCs w:val="32"/>
          <w:lang w:val="en-US" w:eastAsia="zh-CN" w:bidi="ar-SA"/>
        </w:rPr>
        <w:t>1</w:t>
      </w:r>
      <w:r>
        <w:rPr>
          <w:rFonts w:hint="default" w:ascii="仿宋" w:hAnsi="仿宋" w:eastAsia="仿宋" w:cs="仿宋"/>
          <w:color w:val="000000"/>
          <w:kern w:val="0"/>
          <w:sz w:val="32"/>
          <w:szCs w:val="32"/>
          <w:lang w:val="zh-CN" w:eastAsia="zh-CN" w:bidi="ar-SA"/>
        </w:rPr>
        <w:t>个</w:t>
      </w:r>
      <w:r>
        <w:rPr>
          <w:rFonts w:hint="eastAsia" w:ascii="仿宋" w:hAnsi="仿宋" w:eastAsia="仿宋" w:cs="仿宋"/>
          <w:color w:val="000000"/>
          <w:kern w:val="0"/>
          <w:sz w:val="32"/>
          <w:szCs w:val="32"/>
          <w:lang w:val="zh-CN" w:eastAsia="zh-CN" w:bidi="ar-SA"/>
        </w:rPr>
        <w:t>。</w:t>
      </w:r>
    </w:p>
    <w:p w14:paraId="30C0A079">
      <w:pPr>
        <w:keepNext w:val="0"/>
        <w:keepLines w:val="0"/>
        <w:pageBreakBefore w:val="0"/>
        <w:widowControl w:val="0"/>
        <w:numPr>
          <w:ilvl w:val="0"/>
          <w:numId w:val="0"/>
        </w:numPr>
        <w:shd w:val="clear"/>
        <w:kinsoku/>
        <w:wordWrap/>
        <w:overflowPunct/>
        <w:topLinePunct w:val="0"/>
        <w:autoSpaceDE/>
        <w:autoSpaceDN/>
        <w:bidi w:val="0"/>
        <w:adjustRightInd w:val="0"/>
        <w:snapToGrid w:val="0"/>
        <w:spacing w:line="480" w:lineRule="exact"/>
        <w:ind w:firstLine="640" w:firstLineChars="200"/>
        <w:contextualSpacing/>
        <w:jc w:val="left"/>
        <w:textAlignment w:val="auto"/>
        <w:outlineLvl w:val="9"/>
        <w:rPr>
          <w:rFonts w:hint="default" w:ascii="仿宋" w:hAnsi="仿宋" w:eastAsia="仿宋" w:cs="仿宋"/>
          <w:color w:val="000000"/>
          <w:kern w:val="0"/>
          <w:sz w:val="32"/>
          <w:szCs w:val="32"/>
          <w:lang w:val="zh-CN" w:eastAsia="zh-CN" w:bidi="ar-SA"/>
        </w:rPr>
      </w:pPr>
      <w:r>
        <w:rPr>
          <w:rFonts w:hint="default" w:ascii="仿宋" w:hAnsi="仿宋" w:eastAsia="仿宋" w:cs="仿宋"/>
          <w:color w:val="000000"/>
          <w:kern w:val="0"/>
          <w:sz w:val="32"/>
          <w:szCs w:val="32"/>
          <w:lang w:val="en-US" w:eastAsia="zh-CN" w:bidi="ar-SA"/>
        </w:rPr>
        <w:t>阶段</w:t>
      </w:r>
      <w:r>
        <w:rPr>
          <w:rFonts w:hint="eastAsia" w:ascii="仿宋" w:hAnsi="仿宋" w:eastAsia="仿宋" w:cs="仿宋"/>
          <w:color w:val="000000"/>
          <w:kern w:val="0"/>
          <w:sz w:val="32"/>
          <w:szCs w:val="32"/>
          <w:lang w:val="en-US" w:eastAsia="zh-CN" w:bidi="ar-SA"/>
        </w:rPr>
        <w:t>（含</w:t>
      </w:r>
      <w:r>
        <w:rPr>
          <w:rFonts w:hint="default" w:ascii="仿宋" w:hAnsi="仿宋" w:eastAsia="仿宋" w:cs="仿宋"/>
          <w:color w:val="000000"/>
          <w:kern w:val="0"/>
          <w:sz w:val="32"/>
          <w:szCs w:val="32"/>
          <w:lang w:val="en-US" w:eastAsia="zh-CN" w:bidi="ar-SA"/>
        </w:rPr>
        <w:t>一次性</w:t>
      </w:r>
      <w:r>
        <w:rPr>
          <w:rFonts w:hint="eastAsia" w:ascii="仿宋" w:hAnsi="仿宋" w:eastAsia="仿宋" w:cs="仿宋"/>
          <w:color w:val="000000"/>
          <w:kern w:val="0"/>
          <w:sz w:val="32"/>
          <w:szCs w:val="32"/>
          <w:lang w:val="en-US" w:eastAsia="zh-CN" w:bidi="ar-SA"/>
        </w:rPr>
        <w:t>）</w:t>
      </w:r>
      <w:r>
        <w:rPr>
          <w:rFonts w:hint="default" w:ascii="仿宋" w:hAnsi="仿宋" w:eastAsia="仿宋" w:cs="仿宋"/>
          <w:color w:val="000000"/>
          <w:kern w:val="0"/>
          <w:sz w:val="32"/>
          <w:szCs w:val="32"/>
          <w:lang w:val="en-US" w:eastAsia="zh-CN" w:bidi="ar-SA"/>
        </w:rPr>
        <w:t>项目绩效分析。</w:t>
      </w:r>
      <w:r>
        <w:rPr>
          <w:rFonts w:hint="default" w:ascii="仿宋" w:hAnsi="仿宋" w:eastAsia="仿宋" w:cs="仿宋"/>
          <w:color w:val="000000"/>
          <w:kern w:val="0"/>
          <w:sz w:val="32"/>
          <w:szCs w:val="32"/>
          <w:lang w:val="zh-CN" w:eastAsia="zh-CN" w:bidi="ar-SA"/>
        </w:rPr>
        <w:t>该类项目总数</w:t>
      </w:r>
      <w:r>
        <w:rPr>
          <w:rFonts w:hint="eastAsia" w:ascii="仿宋" w:hAnsi="仿宋" w:eastAsia="仿宋" w:cs="仿宋"/>
          <w:color w:val="000000"/>
          <w:kern w:val="0"/>
          <w:sz w:val="32"/>
          <w:szCs w:val="32"/>
          <w:lang w:val="en-US" w:eastAsia="zh-CN" w:bidi="ar-SA"/>
        </w:rPr>
        <w:t>5</w:t>
      </w:r>
      <w:r>
        <w:rPr>
          <w:rFonts w:hint="default" w:ascii="仿宋" w:hAnsi="仿宋" w:eastAsia="仿宋" w:cs="仿宋"/>
          <w:color w:val="000000"/>
          <w:kern w:val="0"/>
          <w:sz w:val="32"/>
          <w:szCs w:val="32"/>
          <w:lang w:val="zh-CN" w:eastAsia="zh-CN" w:bidi="ar-SA"/>
        </w:rPr>
        <w:t>个，涉及预算总金额</w:t>
      </w:r>
      <w:r>
        <w:rPr>
          <w:rFonts w:hint="eastAsia" w:ascii="仿宋" w:hAnsi="仿宋" w:eastAsia="仿宋" w:cs="仿宋"/>
          <w:color w:val="000000"/>
          <w:kern w:val="0"/>
          <w:sz w:val="32"/>
          <w:szCs w:val="32"/>
          <w:lang w:val="en-US" w:eastAsia="zh-CN" w:bidi="ar-SA"/>
        </w:rPr>
        <w:t>74.34</w:t>
      </w:r>
      <w:r>
        <w:rPr>
          <w:rFonts w:hint="default" w:ascii="仿宋" w:hAnsi="仿宋" w:eastAsia="仿宋" w:cs="仿宋"/>
          <w:color w:val="000000"/>
          <w:kern w:val="0"/>
          <w:sz w:val="32"/>
          <w:szCs w:val="32"/>
          <w:lang w:val="zh-CN" w:eastAsia="zh-CN" w:bidi="ar-SA"/>
        </w:rPr>
        <w:t>万元，1—1</w:t>
      </w:r>
      <w:r>
        <w:rPr>
          <w:rFonts w:hint="default" w:ascii="仿宋" w:hAnsi="仿宋" w:eastAsia="仿宋" w:cs="仿宋"/>
          <w:color w:val="000000"/>
          <w:kern w:val="0"/>
          <w:sz w:val="32"/>
          <w:szCs w:val="32"/>
          <w:lang w:val="en-US" w:eastAsia="zh-CN" w:bidi="ar-SA"/>
        </w:rPr>
        <w:t>2</w:t>
      </w:r>
      <w:r>
        <w:rPr>
          <w:rFonts w:hint="default" w:ascii="仿宋" w:hAnsi="仿宋" w:eastAsia="仿宋" w:cs="仿宋"/>
          <w:color w:val="000000"/>
          <w:kern w:val="0"/>
          <w:sz w:val="32"/>
          <w:szCs w:val="32"/>
          <w:lang w:val="zh-CN" w:eastAsia="zh-CN" w:bidi="ar-SA"/>
        </w:rPr>
        <w:t>月预算执行总体进度为</w:t>
      </w:r>
      <w:r>
        <w:rPr>
          <w:rFonts w:hint="eastAsia" w:ascii="仿宋" w:hAnsi="仿宋" w:eastAsia="仿宋" w:cs="仿宋"/>
          <w:color w:val="000000"/>
          <w:kern w:val="0"/>
          <w:sz w:val="32"/>
          <w:szCs w:val="32"/>
          <w:lang w:val="en-US" w:eastAsia="zh-CN" w:bidi="ar-SA"/>
        </w:rPr>
        <w:t>99.39</w:t>
      </w:r>
      <w:r>
        <w:rPr>
          <w:rFonts w:hint="default" w:ascii="仿宋" w:hAnsi="仿宋" w:eastAsia="仿宋" w:cs="仿宋"/>
          <w:color w:val="000000"/>
          <w:kern w:val="0"/>
          <w:sz w:val="32"/>
          <w:szCs w:val="32"/>
          <w:lang w:val="zh-CN" w:eastAsia="zh-CN" w:bidi="ar-SA"/>
        </w:rPr>
        <w:t>%</w:t>
      </w:r>
      <w:r>
        <w:rPr>
          <w:rFonts w:hint="eastAsia" w:ascii="仿宋" w:hAnsi="仿宋" w:eastAsia="仿宋" w:cs="仿宋"/>
          <w:color w:val="000000"/>
          <w:kern w:val="0"/>
          <w:sz w:val="32"/>
          <w:szCs w:val="32"/>
          <w:lang w:val="zh-CN" w:eastAsia="zh-CN" w:bidi="ar-SA"/>
        </w:rPr>
        <w:t>，</w:t>
      </w:r>
      <w:r>
        <w:rPr>
          <w:rFonts w:hint="eastAsia" w:ascii="仿宋" w:hAnsi="仿宋" w:eastAsia="仿宋" w:cs="仿宋"/>
          <w:color w:val="000000"/>
          <w:kern w:val="0"/>
          <w:sz w:val="32"/>
          <w:szCs w:val="32"/>
          <w:lang w:val="en-US" w:eastAsia="zh-CN" w:bidi="ar-SA"/>
        </w:rPr>
        <w:t>其中；</w:t>
      </w:r>
      <w:r>
        <w:rPr>
          <w:rFonts w:hint="default" w:ascii="仿宋" w:hAnsi="仿宋" w:eastAsia="仿宋" w:cs="仿宋"/>
          <w:color w:val="000000"/>
          <w:kern w:val="0"/>
          <w:sz w:val="32"/>
          <w:szCs w:val="32"/>
          <w:lang w:val="zh-CN" w:eastAsia="zh-CN" w:bidi="ar-SA"/>
        </w:rPr>
        <w:t>预算结余率大于</w:t>
      </w:r>
      <w:r>
        <w:rPr>
          <w:rFonts w:hint="default" w:ascii="仿宋" w:hAnsi="仿宋" w:eastAsia="仿宋" w:cs="仿宋"/>
          <w:color w:val="000000"/>
          <w:kern w:val="0"/>
          <w:sz w:val="32"/>
          <w:szCs w:val="32"/>
          <w:lang w:val="en-US" w:eastAsia="zh-CN" w:bidi="ar-SA"/>
        </w:rPr>
        <w:t>10%</w:t>
      </w:r>
      <w:r>
        <w:rPr>
          <w:rFonts w:hint="default" w:ascii="仿宋" w:hAnsi="仿宋" w:eastAsia="仿宋" w:cs="仿宋"/>
          <w:color w:val="000000"/>
          <w:kern w:val="0"/>
          <w:sz w:val="32"/>
          <w:szCs w:val="32"/>
          <w:lang w:val="zh-CN" w:eastAsia="zh-CN" w:bidi="ar-SA"/>
        </w:rPr>
        <w:t>的项目共计</w:t>
      </w:r>
      <w:r>
        <w:rPr>
          <w:rFonts w:hint="eastAsia" w:ascii="仿宋" w:hAnsi="仿宋" w:eastAsia="仿宋" w:cs="仿宋"/>
          <w:color w:val="000000"/>
          <w:kern w:val="0"/>
          <w:sz w:val="32"/>
          <w:szCs w:val="32"/>
          <w:lang w:val="en-US" w:eastAsia="zh-CN" w:bidi="ar-SA"/>
        </w:rPr>
        <w:t>2</w:t>
      </w:r>
      <w:r>
        <w:rPr>
          <w:rFonts w:hint="default" w:ascii="仿宋" w:hAnsi="仿宋" w:eastAsia="仿宋" w:cs="仿宋"/>
          <w:color w:val="000000"/>
          <w:kern w:val="0"/>
          <w:sz w:val="32"/>
          <w:szCs w:val="32"/>
          <w:lang w:val="zh-CN" w:eastAsia="zh-CN" w:bidi="ar-SA"/>
        </w:rPr>
        <w:t>个</w:t>
      </w:r>
      <w:r>
        <w:rPr>
          <w:rFonts w:hint="eastAsia" w:ascii="仿宋" w:hAnsi="仿宋" w:eastAsia="仿宋" w:cs="仿宋"/>
          <w:color w:val="000000"/>
          <w:kern w:val="0"/>
          <w:sz w:val="32"/>
          <w:szCs w:val="32"/>
          <w:lang w:val="zh-CN" w:eastAsia="zh-CN" w:bidi="ar-SA"/>
        </w:rPr>
        <w:t>。</w:t>
      </w:r>
    </w:p>
    <w:p w14:paraId="1DC7AEA0">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en-US" w:eastAsia="zh-CN" w:bidi="ar-SA"/>
        </w:rPr>
        <w:t>1</w:t>
      </w:r>
      <w:r>
        <w:rPr>
          <w:rFonts w:hint="eastAsia" w:ascii="黑体" w:hAnsi="黑体" w:eastAsia="黑体" w:cs="黑体"/>
          <w:b w:val="0"/>
          <w:bCs w:val="0"/>
          <w:color w:val="000000"/>
          <w:kern w:val="0"/>
          <w:sz w:val="32"/>
          <w:szCs w:val="32"/>
          <w:lang w:val="en-US" w:eastAsia="zh-CN" w:bidi="ar-SA"/>
        </w:rPr>
        <w:t>．</w:t>
      </w:r>
      <w:r>
        <w:rPr>
          <w:rFonts w:hint="eastAsia" w:ascii="黑体" w:hAnsi="黑体" w:eastAsia="黑体" w:cs="黑体"/>
          <w:b w:val="0"/>
          <w:bCs w:val="0"/>
          <w:color w:val="000000"/>
          <w:kern w:val="0"/>
          <w:sz w:val="32"/>
          <w:szCs w:val="32"/>
          <w:lang w:val="zh-CN" w:eastAsia="zh-CN" w:bidi="ar-SA"/>
        </w:rPr>
        <w:t>项目决策</w:t>
      </w:r>
    </w:p>
    <w:p w14:paraId="10F9A251">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zh-CN" w:eastAsia="zh-CN" w:bidi="ar-SA"/>
        </w:rPr>
        <w:t>（</w:t>
      </w:r>
      <w:r>
        <w:rPr>
          <w:rFonts w:hint="default" w:ascii="黑体" w:hAnsi="黑体" w:eastAsia="黑体" w:cs="黑体"/>
          <w:b w:val="0"/>
          <w:bCs w:val="0"/>
          <w:color w:val="000000"/>
          <w:kern w:val="0"/>
          <w:sz w:val="32"/>
          <w:szCs w:val="32"/>
          <w:lang w:val="en-US" w:eastAsia="zh-CN" w:bidi="ar-SA"/>
        </w:rPr>
        <w:t>1</w:t>
      </w:r>
      <w:r>
        <w:rPr>
          <w:rFonts w:hint="eastAsia" w:ascii="黑体" w:hAnsi="黑体" w:eastAsia="黑体" w:cs="黑体"/>
          <w:b w:val="0"/>
          <w:bCs w:val="0"/>
          <w:color w:val="000000"/>
          <w:kern w:val="0"/>
          <w:sz w:val="32"/>
          <w:szCs w:val="32"/>
          <w:lang w:val="zh-CN" w:eastAsia="zh-CN" w:bidi="ar-SA"/>
        </w:rPr>
        <w:t>）决策程序</w:t>
      </w:r>
    </w:p>
    <w:p w14:paraId="423DAEE9">
      <w:pPr>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根据事前绩效评估相关要求，2024年本单位42个</w:t>
      </w:r>
      <w:r>
        <w:rPr>
          <w:rFonts w:hint="default" w:ascii="仿宋" w:hAnsi="仿宋" w:eastAsia="仿宋" w:cs="仿宋"/>
          <w:color w:val="000000"/>
          <w:kern w:val="0"/>
          <w:sz w:val="32"/>
          <w:szCs w:val="32"/>
          <w:lang w:val="en-US" w:eastAsia="zh-CN" w:bidi="ar-SA"/>
        </w:rPr>
        <w:t>预算阶段项目（含一次性项目）</w:t>
      </w:r>
      <w:r>
        <w:rPr>
          <w:rFonts w:hint="eastAsia" w:ascii="仿宋" w:hAnsi="仿宋" w:eastAsia="仿宋" w:cs="仿宋"/>
          <w:color w:val="000000"/>
          <w:kern w:val="0"/>
          <w:sz w:val="32"/>
          <w:szCs w:val="32"/>
          <w:lang w:val="en-US" w:eastAsia="zh-CN" w:bidi="ar-SA"/>
        </w:rPr>
        <w:t>均严格履行事前评估程序，项目立项依据充分，决策程序规范。</w:t>
      </w:r>
    </w:p>
    <w:p w14:paraId="11BB1093">
      <w:pPr>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根据评分标准，该项指标不扣分，得4分</w:t>
      </w:r>
      <w:r>
        <w:rPr>
          <w:rFonts w:hint="eastAsia" w:ascii="仿宋" w:hAnsi="仿宋" w:eastAsia="仿宋" w:cs="仿宋"/>
          <w:color w:val="000000"/>
          <w:kern w:val="0"/>
          <w:sz w:val="32"/>
          <w:szCs w:val="32"/>
          <w:lang w:val="en-US" w:eastAsia="zh-CN" w:bidi="ar-SA"/>
        </w:rPr>
        <w:t>。</w:t>
      </w:r>
    </w:p>
    <w:p w14:paraId="2E1238BB">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en-US" w:eastAsia="zh-CN" w:bidi="ar-SA"/>
        </w:rPr>
        <w:t>2</w:t>
      </w:r>
      <w:r>
        <w:rPr>
          <w:rFonts w:hint="eastAsia" w:ascii="黑体" w:hAnsi="黑体" w:eastAsia="黑体" w:cs="黑体"/>
          <w:b w:val="0"/>
          <w:bCs w:val="0"/>
          <w:color w:val="000000"/>
          <w:kern w:val="0"/>
          <w:sz w:val="32"/>
          <w:szCs w:val="32"/>
          <w:lang w:val="en-US" w:eastAsia="zh-CN" w:bidi="ar-SA"/>
        </w:rPr>
        <w:t>）目标设置</w:t>
      </w:r>
    </w:p>
    <w:p w14:paraId="19E63BFD">
      <w:pPr>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2024年本单位</w:t>
      </w:r>
      <w:r>
        <w:rPr>
          <w:rFonts w:hint="default" w:ascii="仿宋" w:hAnsi="仿宋" w:eastAsia="仿宋" w:cs="仿宋"/>
          <w:color w:val="000000"/>
          <w:kern w:val="0"/>
          <w:sz w:val="32"/>
          <w:szCs w:val="32"/>
          <w:lang w:val="zh-CN" w:eastAsia="zh-CN" w:bidi="ar-SA"/>
        </w:rPr>
        <w:t>开展绩效目标管理的</w:t>
      </w:r>
      <w:r>
        <w:rPr>
          <w:rFonts w:hint="eastAsia" w:ascii="仿宋" w:hAnsi="仿宋" w:eastAsia="仿宋" w:cs="仿宋"/>
          <w:color w:val="000000"/>
          <w:kern w:val="0"/>
          <w:sz w:val="32"/>
          <w:szCs w:val="32"/>
          <w:lang w:val="en-US" w:eastAsia="zh-CN" w:bidi="ar-SA"/>
        </w:rPr>
        <w:t>部门预算阶段项目（含一次性项目）共有42个</w:t>
      </w:r>
      <w:r>
        <w:rPr>
          <w:rFonts w:hint="eastAsia" w:ascii="仿宋" w:hAnsi="仿宋" w:eastAsia="仿宋" w:cs="仿宋"/>
          <w:color w:val="000000"/>
          <w:kern w:val="0"/>
          <w:sz w:val="32"/>
          <w:szCs w:val="32"/>
          <w:lang w:val="zh-CN" w:eastAsia="zh-CN" w:bidi="ar-SA"/>
        </w:rPr>
        <w:t>，</w:t>
      </w:r>
      <w:r>
        <w:rPr>
          <w:rFonts w:hint="eastAsia" w:ascii="仿宋" w:hAnsi="仿宋" w:eastAsia="仿宋" w:cs="仿宋"/>
          <w:color w:val="000000"/>
          <w:kern w:val="0"/>
          <w:sz w:val="32"/>
          <w:szCs w:val="32"/>
          <w:lang w:val="en-US" w:eastAsia="zh-CN" w:bidi="ar-SA"/>
        </w:rPr>
        <w:t>为充分发挥绩效目标引领作用，</w:t>
      </w:r>
      <w:r>
        <w:rPr>
          <w:rFonts w:hint="eastAsia" w:ascii="仿宋" w:hAnsi="仿宋" w:eastAsia="仿宋" w:cs="仿宋"/>
          <w:color w:val="000000"/>
          <w:kern w:val="0"/>
          <w:sz w:val="32"/>
          <w:szCs w:val="32"/>
          <w:lang w:val="zh-CN" w:eastAsia="zh-CN" w:bidi="ar-SA"/>
        </w:rPr>
        <w:t>本单位</w:t>
      </w:r>
      <w:r>
        <w:rPr>
          <w:rFonts w:hint="eastAsia" w:ascii="仿宋" w:hAnsi="仿宋" w:eastAsia="仿宋" w:cs="仿宋"/>
          <w:color w:val="000000"/>
          <w:kern w:val="0"/>
          <w:sz w:val="32"/>
          <w:szCs w:val="32"/>
          <w:lang w:val="en-US" w:eastAsia="zh-CN" w:bidi="ar-SA"/>
        </w:rPr>
        <w:t>贯彻落实《中共四川省委办公厅四川省人民政府办公厅关于深入实施预算绩效管理的通知》（川委厅〔</w:t>
      </w:r>
      <w:r>
        <w:rPr>
          <w:rFonts w:hint="default" w:ascii="仿宋" w:hAnsi="仿宋" w:eastAsia="仿宋" w:cs="仿宋"/>
          <w:color w:val="000000"/>
          <w:kern w:val="0"/>
          <w:sz w:val="32"/>
          <w:szCs w:val="32"/>
          <w:lang w:val="en-US" w:eastAsia="zh-CN" w:bidi="ar-SA"/>
        </w:rPr>
        <w:t>2021</w:t>
      </w:r>
      <w:r>
        <w:rPr>
          <w:rFonts w:hint="eastAsia" w:ascii="仿宋" w:hAnsi="仿宋" w:eastAsia="仿宋" w:cs="仿宋"/>
          <w:color w:val="000000"/>
          <w:kern w:val="0"/>
          <w:sz w:val="32"/>
          <w:szCs w:val="32"/>
          <w:lang w:val="en-US" w:eastAsia="zh-CN" w:bidi="ar-SA"/>
        </w:rPr>
        <w:t>〕</w:t>
      </w:r>
      <w:r>
        <w:rPr>
          <w:rFonts w:hint="default" w:ascii="仿宋" w:hAnsi="仿宋" w:eastAsia="仿宋" w:cs="仿宋"/>
          <w:color w:val="000000"/>
          <w:kern w:val="0"/>
          <w:sz w:val="32"/>
          <w:szCs w:val="32"/>
          <w:lang w:val="en-US" w:eastAsia="zh-CN" w:bidi="ar-SA"/>
        </w:rPr>
        <w:t>5</w:t>
      </w:r>
      <w:r>
        <w:rPr>
          <w:rFonts w:hint="eastAsia" w:ascii="仿宋" w:hAnsi="仿宋" w:eastAsia="仿宋" w:cs="仿宋"/>
          <w:color w:val="000000"/>
          <w:kern w:val="0"/>
          <w:sz w:val="32"/>
          <w:szCs w:val="32"/>
          <w:lang w:val="en-US" w:eastAsia="zh-CN" w:bidi="ar-SA"/>
        </w:rPr>
        <w:t>号）文件精神，42个项目均设置了相应的绩效目标表，但部分项目目标设置偏离实际实施目标，并未对项目目标进行及时调整。</w:t>
      </w:r>
    </w:p>
    <w:p w14:paraId="5907361D">
      <w:pPr>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根据评分标准，该项指标扣</w:t>
      </w:r>
      <w:r>
        <w:rPr>
          <w:rFonts w:hint="eastAsia" w:ascii="仿宋" w:hAnsi="仿宋" w:eastAsia="仿宋" w:cs="仿宋"/>
          <w:color w:val="000000"/>
          <w:kern w:val="0"/>
          <w:sz w:val="32"/>
          <w:szCs w:val="32"/>
          <w:lang w:val="en-US" w:eastAsia="zh-CN" w:bidi="ar-SA"/>
        </w:rPr>
        <w:t>2</w:t>
      </w:r>
      <w:r>
        <w:rPr>
          <w:rFonts w:hint="default" w:ascii="仿宋" w:hAnsi="仿宋" w:eastAsia="仿宋" w:cs="仿宋"/>
          <w:color w:val="000000"/>
          <w:kern w:val="0"/>
          <w:sz w:val="32"/>
          <w:szCs w:val="32"/>
          <w:lang w:val="en-US" w:eastAsia="zh-CN" w:bidi="ar-SA"/>
        </w:rPr>
        <w:t>分，得</w:t>
      </w:r>
      <w:r>
        <w:rPr>
          <w:rFonts w:hint="eastAsia" w:ascii="仿宋" w:hAnsi="仿宋" w:eastAsia="仿宋" w:cs="仿宋"/>
          <w:color w:val="000000"/>
          <w:kern w:val="0"/>
          <w:sz w:val="32"/>
          <w:szCs w:val="32"/>
          <w:lang w:val="en-US" w:eastAsia="zh-CN" w:bidi="ar-SA"/>
        </w:rPr>
        <w:t>2</w:t>
      </w:r>
      <w:r>
        <w:rPr>
          <w:rFonts w:hint="default" w:ascii="仿宋" w:hAnsi="仿宋" w:eastAsia="仿宋" w:cs="仿宋"/>
          <w:color w:val="000000"/>
          <w:kern w:val="0"/>
          <w:sz w:val="32"/>
          <w:szCs w:val="32"/>
          <w:lang w:val="en-US" w:eastAsia="zh-CN" w:bidi="ar-SA"/>
        </w:rPr>
        <w:t>分</w:t>
      </w:r>
      <w:r>
        <w:rPr>
          <w:rFonts w:hint="eastAsia" w:ascii="仿宋" w:hAnsi="仿宋" w:eastAsia="仿宋" w:cs="仿宋"/>
          <w:color w:val="000000"/>
          <w:kern w:val="0"/>
          <w:sz w:val="32"/>
          <w:szCs w:val="32"/>
          <w:lang w:val="en-US" w:eastAsia="zh-CN" w:bidi="ar-SA"/>
        </w:rPr>
        <w:t>。</w:t>
      </w:r>
    </w:p>
    <w:p w14:paraId="27C8F38A">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en-US" w:eastAsia="zh-CN" w:bidi="ar-SA"/>
        </w:rPr>
        <w:t>3</w:t>
      </w:r>
      <w:r>
        <w:rPr>
          <w:rFonts w:hint="eastAsia" w:ascii="黑体" w:hAnsi="黑体" w:eastAsia="黑体" w:cs="黑体"/>
          <w:b w:val="0"/>
          <w:bCs w:val="0"/>
          <w:color w:val="000000"/>
          <w:kern w:val="0"/>
          <w:sz w:val="32"/>
          <w:szCs w:val="32"/>
          <w:lang w:val="en-US" w:eastAsia="zh-CN" w:bidi="ar-SA"/>
        </w:rPr>
        <w:t>）项目入库</w:t>
      </w:r>
    </w:p>
    <w:p w14:paraId="2AB841DD">
      <w:pPr>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zh-CN" w:eastAsia="zh-CN" w:bidi="ar-SA"/>
        </w:rPr>
        <w:t>2024年本单位需在</w:t>
      </w:r>
      <w:r>
        <w:rPr>
          <w:rFonts w:hint="eastAsia" w:ascii="仿宋" w:hAnsi="仿宋" w:eastAsia="仿宋" w:cs="仿宋"/>
          <w:color w:val="000000"/>
          <w:kern w:val="0"/>
          <w:sz w:val="32"/>
          <w:szCs w:val="32"/>
          <w:lang w:val="en-US" w:eastAsia="zh-CN" w:bidi="ar-SA"/>
        </w:rPr>
        <w:t>规定时间内进行入库的</w:t>
      </w:r>
      <w:r>
        <w:rPr>
          <w:rFonts w:hint="eastAsia" w:ascii="仿宋" w:hAnsi="仿宋" w:eastAsia="仿宋" w:cs="仿宋"/>
          <w:color w:val="000000"/>
          <w:kern w:val="0"/>
          <w:sz w:val="32"/>
          <w:szCs w:val="32"/>
          <w:lang w:val="zh-CN" w:eastAsia="zh-CN" w:bidi="ar-SA"/>
        </w:rPr>
        <w:t>项目共有</w:t>
      </w:r>
      <w:r>
        <w:rPr>
          <w:rFonts w:hint="eastAsia" w:ascii="仿宋" w:hAnsi="仿宋" w:eastAsia="仿宋" w:cs="仿宋"/>
          <w:color w:val="000000"/>
          <w:kern w:val="0"/>
          <w:sz w:val="32"/>
          <w:szCs w:val="32"/>
          <w:lang w:val="en-US" w:eastAsia="zh-CN" w:bidi="ar-SA"/>
        </w:rPr>
        <w:t>42</w:t>
      </w:r>
      <w:r>
        <w:rPr>
          <w:rFonts w:hint="eastAsia" w:ascii="仿宋" w:hAnsi="仿宋" w:eastAsia="仿宋" w:cs="仿宋"/>
          <w:color w:val="000000"/>
          <w:kern w:val="0"/>
          <w:sz w:val="32"/>
          <w:szCs w:val="32"/>
          <w:lang w:val="zh-CN" w:eastAsia="zh-CN" w:bidi="ar-SA"/>
        </w:rPr>
        <w:t>个，</w:t>
      </w:r>
      <w:r>
        <w:rPr>
          <w:rFonts w:hint="eastAsia" w:ascii="仿宋" w:hAnsi="仿宋" w:eastAsia="仿宋" w:cs="仿宋"/>
          <w:color w:val="000000"/>
          <w:kern w:val="0"/>
          <w:sz w:val="32"/>
          <w:szCs w:val="32"/>
          <w:lang w:val="en-US" w:eastAsia="zh-CN" w:bidi="ar-SA"/>
        </w:rPr>
        <w:t>均在规定时间内完成了项目入库。</w:t>
      </w:r>
    </w:p>
    <w:p w14:paraId="2CF65C18">
      <w:pPr>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根据评分标准，该项指标不扣分，得4分</w:t>
      </w:r>
      <w:r>
        <w:rPr>
          <w:rFonts w:hint="eastAsia" w:ascii="仿宋" w:hAnsi="仿宋" w:eastAsia="仿宋" w:cs="仿宋"/>
          <w:color w:val="000000"/>
          <w:kern w:val="0"/>
          <w:sz w:val="32"/>
          <w:szCs w:val="32"/>
          <w:lang w:val="en-US" w:eastAsia="zh-CN" w:bidi="ar-SA"/>
        </w:rPr>
        <w:t>。</w:t>
      </w:r>
    </w:p>
    <w:p w14:paraId="163B7E59">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en-US" w:eastAsia="zh-CN" w:bidi="ar-SA"/>
        </w:rPr>
        <w:t>2</w:t>
      </w:r>
      <w:r>
        <w:rPr>
          <w:rFonts w:hint="eastAsia" w:ascii="黑体" w:hAnsi="黑体" w:eastAsia="黑体" w:cs="黑体"/>
          <w:b w:val="0"/>
          <w:bCs w:val="0"/>
          <w:color w:val="000000"/>
          <w:kern w:val="0"/>
          <w:sz w:val="32"/>
          <w:szCs w:val="32"/>
          <w:lang w:val="en-US" w:eastAsia="zh-CN" w:bidi="ar-SA"/>
        </w:rPr>
        <w:t>．项目执行</w:t>
      </w:r>
    </w:p>
    <w:p w14:paraId="6281E521">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zh-CN" w:eastAsia="zh-CN" w:bidi="ar-SA"/>
        </w:rPr>
        <w:t>（</w:t>
      </w:r>
      <w:r>
        <w:rPr>
          <w:rFonts w:hint="default" w:ascii="黑体" w:hAnsi="黑体" w:eastAsia="黑体" w:cs="黑体"/>
          <w:b w:val="0"/>
          <w:bCs w:val="0"/>
          <w:color w:val="000000"/>
          <w:kern w:val="0"/>
          <w:sz w:val="32"/>
          <w:szCs w:val="32"/>
          <w:lang w:val="en-US" w:eastAsia="zh-CN" w:bidi="ar-SA"/>
        </w:rPr>
        <w:t>1</w:t>
      </w:r>
      <w:r>
        <w:rPr>
          <w:rFonts w:hint="eastAsia" w:ascii="黑体" w:hAnsi="黑体" w:eastAsia="黑体" w:cs="黑体"/>
          <w:b w:val="0"/>
          <w:bCs w:val="0"/>
          <w:color w:val="000000"/>
          <w:kern w:val="0"/>
          <w:sz w:val="32"/>
          <w:szCs w:val="32"/>
          <w:lang w:val="zh-CN" w:eastAsia="zh-CN" w:bidi="ar-SA"/>
        </w:rPr>
        <w:t>）执行同向</w:t>
      </w:r>
    </w:p>
    <w:p w14:paraId="37EB2674">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本单位严格按照部门预算项目批复内容实施项目，项目资金使用符合预算批复用途，与项目总体绩效目标设置方向相符，没有相悖或不合理之处。</w:t>
      </w:r>
    </w:p>
    <w:p w14:paraId="1A3109A5">
      <w:pPr>
        <w:keepNext/>
        <w:keepLines/>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根据评分标准，该项指标不扣分，得4分</w:t>
      </w:r>
      <w:r>
        <w:rPr>
          <w:rFonts w:hint="eastAsia" w:ascii="仿宋" w:hAnsi="仿宋" w:eastAsia="仿宋" w:cs="仿宋"/>
          <w:color w:val="000000"/>
          <w:kern w:val="0"/>
          <w:sz w:val="32"/>
          <w:szCs w:val="32"/>
          <w:lang w:val="en-US" w:eastAsia="zh-CN" w:bidi="ar-SA"/>
        </w:rPr>
        <w:t>。</w:t>
      </w:r>
    </w:p>
    <w:p w14:paraId="61D8E29A">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zh-CN" w:eastAsia="zh-CN" w:bidi="ar-SA"/>
        </w:rPr>
        <w:t>（</w:t>
      </w:r>
      <w:r>
        <w:rPr>
          <w:rFonts w:hint="default" w:ascii="黑体" w:hAnsi="黑体" w:eastAsia="黑体" w:cs="黑体"/>
          <w:b w:val="0"/>
          <w:bCs w:val="0"/>
          <w:color w:val="000000"/>
          <w:kern w:val="0"/>
          <w:sz w:val="32"/>
          <w:szCs w:val="32"/>
          <w:lang w:val="en-US" w:eastAsia="zh-CN" w:bidi="ar-SA"/>
        </w:rPr>
        <w:t>2</w:t>
      </w:r>
      <w:r>
        <w:rPr>
          <w:rFonts w:hint="eastAsia" w:ascii="黑体" w:hAnsi="黑体" w:eastAsia="黑体" w:cs="黑体"/>
          <w:b w:val="0"/>
          <w:bCs w:val="0"/>
          <w:color w:val="000000"/>
          <w:kern w:val="0"/>
          <w:sz w:val="32"/>
          <w:szCs w:val="32"/>
          <w:lang w:val="zh-CN" w:eastAsia="zh-CN" w:bidi="ar-SA"/>
        </w:rPr>
        <w:t>）项目调整</w:t>
      </w:r>
    </w:p>
    <w:p w14:paraId="46AB4FC9">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本单位年初设置的部门项目预算较为合理，项目总体绩效目标设置较为科学合理，预算调整及时，与实际情况基本相符，不存在应采取但未采取收回预算、调整目标等处置措施的部门预算阶段项目，故不涉及收回预算、调整目标等处置措施。</w:t>
      </w:r>
    </w:p>
    <w:p w14:paraId="0E558201">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zh-CN" w:eastAsia="zh-CN" w:bidi="ar-SA"/>
        </w:rPr>
      </w:pPr>
      <w:r>
        <w:rPr>
          <w:rFonts w:hint="default" w:ascii="仿宋" w:hAnsi="仿宋" w:eastAsia="仿宋" w:cs="仿宋"/>
          <w:color w:val="000000"/>
          <w:kern w:val="0"/>
          <w:sz w:val="32"/>
          <w:szCs w:val="32"/>
          <w:lang w:val="en-US" w:eastAsia="zh-CN" w:bidi="ar-SA"/>
        </w:rPr>
        <w:t>根据评分标准，该项指标不扣分，得4分</w:t>
      </w:r>
      <w:r>
        <w:rPr>
          <w:rFonts w:hint="eastAsia" w:ascii="仿宋" w:hAnsi="仿宋" w:eastAsia="仿宋" w:cs="仿宋"/>
          <w:color w:val="000000"/>
          <w:kern w:val="0"/>
          <w:sz w:val="32"/>
          <w:szCs w:val="32"/>
          <w:lang w:val="en-US" w:eastAsia="zh-CN" w:bidi="ar-SA"/>
        </w:rPr>
        <w:t>。</w:t>
      </w:r>
    </w:p>
    <w:p w14:paraId="38B6C279">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zh-CN" w:eastAsia="zh-CN" w:bidi="ar-SA"/>
        </w:rPr>
      </w:pPr>
      <w:r>
        <w:rPr>
          <w:rFonts w:hint="eastAsia" w:ascii="黑体" w:hAnsi="黑体" w:eastAsia="黑体" w:cs="黑体"/>
          <w:b w:val="0"/>
          <w:bCs w:val="0"/>
          <w:color w:val="000000"/>
          <w:kern w:val="0"/>
          <w:sz w:val="32"/>
          <w:szCs w:val="32"/>
          <w:lang w:val="zh-CN" w:eastAsia="zh-CN" w:bidi="ar-SA"/>
        </w:rPr>
        <w:t>（</w:t>
      </w:r>
      <w:r>
        <w:rPr>
          <w:rFonts w:hint="default" w:ascii="黑体" w:hAnsi="黑体" w:eastAsia="黑体" w:cs="黑体"/>
          <w:b w:val="0"/>
          <w:bCs w:val="0"/>
          <w:color w:val="000000"/>
          <w:kern w:val="0"/>
          <w:sz w:val="32"/>
          <w:szCs w:val="32"/>
          <w:lang w:val="en-US" w:eastAsia="zh-CN" w:bidi="ar-SA"/>
        </w:rPr>
        <w:t>3</w:t>
      </w:r>
      <w:r>
        <w:rPr>
          <w:rFonts w:hint="eastAsia" w:ascii="黑体" w:hAnsi="黑体" w:eastAsia="黑体" w:cs="黑体"/>
          <w:b w:val="0"/>
          <w:bCs w:val="0"/>
          <w:color w:val="000000"/>
          <w:kern w:val="0"/>
          <w:sz w:val="32"/>
          <w:szCs w:val="32"/>
          <w:lang w:val="zh-CN" w:eastAsia="zh-CN" w:bidi="ar-SA"/>
        </w:rPr>
        <w:t>）执行结果</w:t>
      </w:r>
    </w:p>
    <w:p w14:paraId="55551AEA">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zh-CN" w:eastAsia="zh-CN" w:bidi="ar-SA"/>
        </w:rPr>
      </w:pPr>
      <w:r>
        <w:rPr>
          <w:rFonts w:hint="eastAsia" w:ascii="仿宋" w:hAnsi="仿宋" w:eastAsia="仿宋" w:cs="仿宋"/>
          <w:color w:val="000000"/>
          <w:kern w:val="0"/>
          <w:sz w:val="32"/>
          <w:szCs w:val="32"/>
          <w:lang w:val="en-US" w:eastAsia="zh-CN" w:bidi="ar-SA"/>
        </w:rPr>
        <w:t>2024年本单位</w:t>
      </w:r>
      <w:r>
        <w:rPr>
          <w:rFonts w:hint="eastAsia" w:ascii="仿宋" w:hAnsi="仿宋" w:eastAsia="仿宋" w:cs="仿宋"/>
          <w:color w:val="000000"/>
          <w:kern w:val="0"/>
          <w:sz w:val="32"/>
          <w:szCs w:val="32"/>
          <w:lang w:val="zh-CN" w:eastAsia="zh-CN" w:bidi="ar-SA"/>
        </w:rPr>
        <w:t>常年项目</w:t>
      </w:r>
      <w:r>
        <w:rPr>
          <w:rFonts w:hint="eastAsia" w:ascii="仿宋" w:hAnsi="仿宋" w:eastAsia="仿宋" w:cs="仿宋"/>
          <w:color w:val="000000"/>
          <w:kern w:val="0"/>
          <w:sz w:val="32"/>
          <w:szCs w:val="32"/>
          <w:lang w:val="en-US" w:eastAsia="zh-CN" w:bidi="ar-SA"/>
        </w:rPr>
        <w:t>共计37</w:t>
      </w:r>
      <w:r>
        <w:rPr>
          <w:rFonts w:hint="eastAsia" w:ascii="仿宋" w:hAnsi="仿宋" w:eastAsia="仿宋" w:cs="仿宋"/>
          <w:color w:val="000000"/>
          <w:kern w:val="0"/>
          <w:sz w:val="32"/>
          <w:szCs w:val="32"/>
          <w:lang w:val="zh-CN" w:eastAsia="zh-CN" w:bidi="ar-SA"/>
        </w:rPr>
        <w:t>个，预算结余率</w:t>
      </w:r>
      <w:r>
        <w:rPr>
          <w:rFonts w:hint="eastAsia" w:ascii="仿宋" w:hAnsi="仿宋" w:eastAsia="仿宋" w:cs="仿宋"/>
          <w:color w:val="000000"/>
          <w:kern w:val="0"/>
          <w:sz w:val="32"/>
          <w:szCs w:val="32"/>
          <w:lang w:val="en-US" w:eastAsia="zh-CN" w:bidi="ar-SA"/>
        </w:rPr>
        <w:t>小</w:t>
      </w:r>
      <w:r>
        <w:rPr>
          <w:rFonts w:hint="eastAsia" w:ascii="仿宋" w:hAnsi="仿宋" w:eastAsia="仿宋" w:cs="仿宋"/>
          <w:color w:val="000000"/>
          <w:kern w:val="0"/>
          <w:sz w:val="32"/>
          <w:szCs w:val="32"/>
          <w:lang w:val="zh-CN" w:eastAsia="zh-CN" w:bidi="ar-SA"/>
        </w:rPr>
        <w:t>于</w:t>
      </w:r>
      <w:r>
        <w:rPr>
          <w:rFonts w:hint="default" w:ascii="仿宋" w:hAnsi="仿宋" w:eastAsia="仿宋" w:cs="仿宋"/>
          <w:color w:val="000000"/>
          <w:kern w:val="0"/>
          <w:sz w:val="32"/>
          <w:szCs w:val="32"/>
          <w:lang w:val="zh-CN" w:eastAsia="zh-CN" w:bidi="ar-SA"/>
        </w:rPr>
        <w:t>10</w:t>
      </w:r>
      <w:r>
        <w:rPr>
          <w:rFonts w:hint="eastAsia" w:ascii="仿宋" w:hAnsi="仿宋" w:eastAsia="仿宋" w:cs="仿宋"/>
          <w:color w:val="000000"/>
          <w:kern w:val="0"/>
          <w:sz w:val="32"/>
          <w:szCs w:val="32"/>
          <w:lang w:val="zh-CN" w:eastAsia="zh-CN" w:bidi="ar-SA"/>
        </w:rPr>
        <w:t>%</w:t>
      </w:r>
      <w:r>
        <w:rPr>
          <w:rFonts w:hint="eastAsia" w:ascii="仿宋" w:hAnsi="仿宋" w:eastAsia="仿宋" w:cs="仿宋"/>
          <w:color w:val="000000"/>
          <w:kern w:val="0"/>
          <w:sz w:val="32"/>
          <w:szCs w:val="32"/>
          <w:lang w:val="en-US" w:eastAsia="zh-CN" w:bidi="ar-SA"/>
        </w:rPr>
        <w:t>的常年项目数量为36个</w:t>
      </w:r>
      <w:r>
        <w:rPr>
          <w:rFonts w:hint="eastAsia" w:ascii="仿宋" w:hAnsi="仿宋" w:eastAsia="仿宋" w:cs="仿宋"/>
          <w:color w:val="000000"/>
          <w:kern w:val="0"/>
          <w:sz w:val="32"/>
          <w:szCs w:val="32"/>
          <w:lang w:val="zh-CN" w:eastAsia="zh-CN" w:bidi="ar-SA"/>
        </w:rPr>
        <w:t>；阶段（一次性）项目</w:t>
      </w:r>
      <w:r>
        <w:rPr>
          <w:rFonts w:hint="eastAsia" w:ascii="仿宋" w:hAnsi="仿宋" w:eastAsia="仿宋" w:cs="仿宋"/>
          <w:color w:val="000000"/>
          <w:kern w:val="0"/>
          <w:sz w:val="32"/>
          <w:szCs w:val="32"/>
          <w:lang w:val="en-US" w:eastAsia="zh-CN" w:bidi="ar-SA"/>
        </w:rPr>
        <w:t>共计5</w:t>
      </w:r>
      <w:r>
        <w:rPr>
          <w:rFonts w:hint="eastAsia" w:ascii="仿宋" w:hAnsi="仿宋" w:eastAsia="仿宋" w:cs="仿宋"/>
          <w:color w:val="000000"/>
          <w:kern w:val="0"/>
          <w:sz w:val="32"/>
          <w:szCs w:val="32"/>
          <w:lang w:val="zh-CN" w:eastAsia="zh-CN" w:bidi="ar-SA"/>
        </w:rPr>
        <w:t>个，</w:t>
      </w:r>
      <w:r>
        <w:rPr>
          <w:rFonts w:hint="eastAsia" w:ascii="仿宋" w:hAnsi="仿宋" w:eastAsia="仿宋" w:cs="仿宋"/>
          <w:color w:val="000000"/>
          <w:kern w:val="0"/>
          <w:sz w:val="32"/>
          <w:szCs w:val="32"/>
          <w:lang w:val="en-US" w:eastAsia="zh-CN" w:bidi="ar-SA"/>
        </w:rPr>
        <w:t>预算结余率小于10%的一次性项目和阶段项目数量为3个。</w:t>
      </w:r>
    </w:p>
    <w:p w14:paraId="038F5259">
      <w:pPr>
        <w:keepNext/>
        <w:keepLines/>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color w:val="000000"/>
          <w:kern w:val="0"/>
          <w:sz w:val="32"/>
          <w:szCs w:val="32"/>
          <w:lang w:val="zh-CN" w:eastAsia="zh-CN" w:bidi="ar-SA"/>
        </w:rPr>
      </w:pPr>
      <w:r>
        <w:rPr>
          <w:rFonts w:hint="default" w:ascii="仿宋" w:hAnsi="仿宋" w:eastAsia="仿宋" w:cs="仿宋"/>
          <w:color w:val="000000"/>
          <w:kern w:val="0"/>
          <w:sz w:val="32"/>
          <w:szCs w:val="32"/>
          <w:lang w:val="en-US" w:eastAsia="zh-CN" w:bidi="ar-SA"/>
        </w:rPr>
        <w:t>根据评分标准，该项指标扣</w:t>
      </w:r>
      <w:r>
        <w:rPr>
          <w:rFonts w:hint="eastAsia" w:ascii="仿宋" w:hAnsi="仿宋" w:eastAsia="仿宋" w:cs="仿宋"/>
          <w:color w:val="000000"/>
          <w:kern w:val="0"/>
          <w:sz w:val="32"/>
          <w:szCs w:val="32"/>
          <w:lang w:val="en-US" w:eastAsia="zh-CN" w:bidi="ar-SA"/>
        </w:rPr>
        <w:t>0.85</w:t>
      </w:r>
      <w:r>
        <w:rPr>
          <w:rFonts w:hint="default" w:ascii="仿宋" w:hAnsi="仿宋" w:eastAsia="仿宋" w:cs="仿宋"/>
          <w:color w:val="000000"/>
          <w:kern w:val="0"/>
          <w:sz w:val="32"/>
          <w:szCs w:val="32"/>
          <w:lang w:val="en-US" w:eastAsia="zh-CN" w:bidi="ar-SA"/>
        </w:rPr>
        <w:t>分，得</w:t>
      </w:r>
      <w:r>
        <w:rPr>
          <w:rFonts w:hint="eastAsia" w:ascii="仿宋" w:hAnsi="仿宋" w:eastAsia="仿宋" w:cs="仿宋"/>
          <w:color w:val="000000"/>
          <w:kern w:val="0"/>
          <w:sz w:val="32"/>
          <w:szCs w:val="32"/>
          <w:lang w:val="en-US" w:eastAsia="zh-CN" w:bidi="ar-SA"/>
        </w:rPr>
        <w:t>3.15</w:t>
      </w:r>
      <w:r>
        <w:rPr>
          <w:rFonts w:hint="default" w:ascii="仿宋" w:hAnsi="仿宋" w:eastAsia="仿宋" w:cs="仿宋"/>
          <w:color w:val="000000"/>
          <w:kern w:val="0"/>
          <w:sz w:val="32"/>
          <w:szCs w:val="32"/>
          <w:lang w:val="en-US" w:eastAsia="zh-CN" w:bidi="ar-SA"/>
        </w:rPr>
        <w:t>分</w:t>
      </w:r>
      <w:r>
        <w:rPr>
          <w:rFonts w:hint="eastAsia" w:ascii="仿宋" w:hAnsi="仿宋" w:eastAsia="仿宋" w:cs="仿宋"/>
          <w:color w:val="000000"/>
          <w:kern w:val="0"/>
          <w:sz w:val="32"/>
          <w:szCs w:val="32"/>
          <w:lang w:val="en-US" w:eastAsia="zh-CN" w:bidi="ar-SA"/>
        </w:rPr>
        <w:t>。</w:t>
      </w:r>
    </w:p>
    <w:p w14:paraId="25DBE34F">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en-US" w:eastAsia="zh-CN" w:bidi="ar-SA"/>
        </w:rPr>
      </w:pPr>
      <w:r>
        <w:rPr>
          <w:rFonts w:hint="default" w:ascii="黑体" w:hAnsi="黑体" w:eastAsia="黑体" w:cs="黑体"/>
          <w:b w:val="0"/>
          <w:bCs w:val="0"/>
          <w:color w:val="000000"/>
          <w:kern w:val="0"/>
          <w:sz w:val="32"/>
          <w:szCs w:val="32"/>
          <w:lang w:val="en-US" w:eastAsia="zh-CN" w:bidi="ar-SA"/>
        </w:rPr>
        <w:t>3</w:t>
      </w:r>
      <w:r>
        <w:rPr>
          <w:rFonts w:hint="eastAsia" w:ascii="黑体" w:hAnsi="黑体" w:eastAsia="黑体" w:cs="黑体"/>
          <w:b w:val="0"/>
          <w:bCs w:val="0"/>
          <w:color w:val="000000"/>
          <w:kern w:val="0"/>
          <w:sz w:val="32"/>
          <w:szCs w:val="32"/>
          <w:lang w:val="en-US" w:eastAsia="zh-CN" w:bidi="ar-SA"/>
        </w:rPr>
        <w:t>．</w:t>
      </w:r>
      <w:r>
        <w:rPr>
          <w:rFonts w:hint="eastAsia" w:ascii="黑体" w:hAnsi="黑体" w:eastAsia="黑体" w:cs="黑体"/>
          <w:b w:val="0"/>
          <w:bCs w:val="0"/>
          <w:color w:val="000000"/>
          <w:kern w:val="0"/>
          <w:sz w:val="32"/>
          <w:szCs w:val="32"/>
          <w:lang w:val="zh-CN" w:eastAsia="zh-CN" w:bidi="ar-SA"/>
        </w:rPr>
        <w:t>目标实现</w:t>
      </w:r>
    </w:p>
    <w:p w14:paraId="1904E307">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en-US" w:eastAsia="zh-CN" w:bidi="ar-SA"/>
        </w:rPr>
        <w:t>1</w:t>
      </w:r>
      <w:r>
        <w:rPr>
          <w:rFonts w:hint="eastAsia" w:ascii="黑体" w:hAnsi="黑体" w:eastAsia="黑体" w:cs="黑体"/>
          <w:b w:val="0"/>
          <w:bCs w:val="0"/>
          <w:color w:val="000000"/>
          <w:kern w:val="0"/>
          <w:sz w:val="32"/>
          <w:szCs w:val="32"/>
          <w:lang w:val="en-US" w:eastAsia="zh-CN" w:bidi="ar-SA"/>
        </w:rPr>
        <w:t>）目标完成</w:t>
      </w:r>
    </w:p>
    <w:p w14:paraId="7D34A36D">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2024年部门预算阶段项目（含一次性项目）共有42个，结合项目实施的实际情况，本单位所涉及的部门预算阶段项目（含一次性项目）各数量指标实际完成38个，另有4个项目未完成目标任务。</w:t>
      </w:r>
    </w:p>
    <w:p w14:paraId="7C9908FA">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根据评分标准，该项指标扣</w:t>
      </w:r>
      <w:r>
        <w:rPr>
          <w:rFonts w:hint="eastAsia" w:ascii="仿宋" w:hAnsi="仿宋" w:eastAsia="仿宋" w:cs="仿宋"/>
          <w:color w:val="000000"/>
          <w:kern w:val="0"/>
          <w:sz w:val="32"/>
          <w:szCs w:val="32"/>
          <w:lang w:val="en-US" w:eastAsia="zh-CN" w:bidi="ar-SA"/>
        </w:rPr>
        <w:t>0.5</w:t>
      </w:r>
      <w:r>
        <w:rPr>
          <w:rFonts w:hint="default" w:ascii="仿宋" w:hAnsi="仿宋" w:eastAsia="仿宋" w:cs="仿宋"/>
          <w:color w:val="000000"/>
          <w:kern w:val="0"/>
          <w:sz w:val="32"/>
          <w:szCs w:val="32"/>
          <w:lang w:val="en-US" w:eastAsia="zh-CN" w:bidi="ar-SA"/>
        </w:rPr>
        <w:t>分，得</w:t>
      </w:r>
      <w:r>
        <w:rPr>
          <w:rFonts w:hint="eastAsia" w:ascii="仿宋" w:hAnsi="仿宋" w:eastAsia="仿宋" w:cs="仿宋"/>
          <w:color w:val="000000"/>
          <w:kern w:val="0"/>
          <w:sz w:val="32"/>
          <w:szCs w:val="32"/>
          <w:lang w:val="en-US" w:eastAsia="zh-CN" w:bidi="ar-SA"/>
        </w:rPr>
        <w:t>3.5</w:t>
      </w:r>
      <w:r>
        <w:rPr>
          <w:rFonts w:hint="default" w:ascii="仿宋" w:hAnsi="仿宋" w:eastAsia="仿宋" w:cs="仿宋"/>
          <w:color w:val="000000"/>
          <w:kern w:val="0"/>
          <w:sz w:val="32"/>
          <w:szCs w:val="32"/>
          <w:lang w:val="en-US" w:eastAsia="zh-CN" w:bidi="ar-SA"/>
        </w:rPr>
        <w:t>分</w:t>
      </w:r>
      <w:r>
        <w:rPr>
          <w:rFonts w:hint="eastAsia" w:ascii="仿宋" w:hAnsi="仿宋" w:eastAsia="仿宋" w:cs="仿宋"/>
          <w:color w:val="000000"/>
          <w:kern w:val="0"/>
          <w:sz w:val="32"/>
          <w:szCs w:val="32"/>
          <w:lang w:val="en-US" w:eastAsia="zh-CN" w:bidi="ar-SA"/>
        </w:rPr>
        <w:t>。</w:t>
      </w:r>
    </w:p>
    <w:p w14:paraId="312798AD">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en-US" w:eastAsia="zh-CN" w:bidi="ar-SA"/>
        </w:rPr>
        <w:t>2</w:t>
      </w:r>
      <w:r>
        <w:rPr>
          <w:rFonts w:hint="eastAsia" w:ascii="黑体" w:hAnsi="黑体" w:eastAsia="黑体" w:cs="黑体"/>
          <w:b w:val="0"/>
          <w:bCs w:val="0"/>
          <w:color w:val="000000"/>
          <w:kern w:val="0"/>
          <w:sz w:val="32"/>
          <w:szCs w:val="32"/>
          <w:lang w:val="en-US" w:eastAsia="zh-CN" w:bidi="ar-SA"/>
        </w:rPr>
        <w:t>）目标偏离</w:t>
      </w:r>
    </w:p>
    <w:p w14:paraId="6BD2476A">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2024年本单位部门预算项目（含</w:t>
      </w:r>
      <w:r>
        <w:rPr>
          <w:rFonts w:hint="default" w:ascii="仿宋" w:hAnsi="仿宋" w:eastAsia="仿宋" w:cs="仿宋"/>
          <w:color w:val="000000"/>
          <w:kern w:val="0"/>
          <w:sz w:val="32"/>
          <w:szCs w:val="32"/>
          <w:lang w:val="en-US" w:eastAsia="zh-CN" w:bidi="ar-SA"/>
        </w:rPr>
        <w:t>常年项目</w:t>
      </w:r>
      <w:r>
        <w:rPr>
          <w:rFonts w:hint="eastAsia" w:ascii="仿宋" w:hAnsi="仿宋" w:eastAsia="仿宋" w:cs="仿宋"/>
          <w:color w:val="000000"/>
          <w:kern w:val="0"/>
          <w:sz w:val="32"/>
          <w:szCs w:val="32"/>
          <w:lang w:val="en-US" w:eastAsia="zh-CN" w:bidi="ar-SA"/>
        </w:rPr>
        <w:t>和阶段项目及一次性项目）共有42个，各项目数量指标的完成值与设定预期指标值的偏离度在</w:t>
      </w:r>
      <w:r>
        <w:rPr>
          <w:rFonts w:hint="default" w:ascii="仿宋" w:hAnsi="仿宋" w:eastAsia="仿宋" w:cs="仿宋"/>
          <w:color w:val="000000"/>
          <w:kern w:val="0"/>
          <w:sz w:val="32"/>
          <w:szCs w:val="32"/>
          <w:lang w:val="en-US" w:eastAsia="zh-CN" w:bidi="ar-SA"/>
        </w:rPr>
        <w:t>30</w:t>
      </w:r>
      <w:r>
        <w:rPr>
          <w:rFonts w:hint="eastAsia" w:ascii="仿宋" w:hAnsi="仿宋" w:eastAsia="仿宋" w:cs="仿宋"/>
          <w:color w:val="000000"/>
          <w:kern w:val="0"/>
          <w:sz w:val="32"/>
          <w:szCs w:val="32"/>
          <w:lang w:val="en-US" w:eastAsia="zh-CN" w:bidi="ar-SA"/>
        </w:rPr>
        <w:t>%以内的个数为38个。</w:t>
      </w:r>
    </w:p>
    <w:p w14:paraId="6C573B9A">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根据评分标准，该项指标扣</w:t>
      </w:r>
      <w:r>
        <w:rPr>
          <w:rFonts w:hint="eastAsia" w:ascii="仿宋" w:hAnsi="仿宋" w:eastAsia="仿宋" w:cs="仿宋"/>
          <w:color w:val="000000"/>
          <w:kern w:val="0"/>
          <w:sz w:val="32"/>
          <w:szCs w:val="32"/>
          <w:lang w:val="en-US" w:eastAsia="zh-CN" w:bidi="ar-SA"/>
        </w:rPr>
        <w:t>0.5</w:t>
      </w:r>
      <w:r>
        <w:rPr>
          <w:rFonts w:hint="default" w:ascii="仿宋" w:hAnsi="仿宋" w:eastAsia="仿宋" w:cs="仿宋"/>
          <w:color w:val="000000"/>
          <w:kern w:val="0"/>
          <w:sz w:val="32"/>
          <w:szCs w:val="32"/>
          <w:lang w:val="en-US" w:eastAsia="zh-CN" w:bidi="ar-SA"/>
        </w:rPr>
        <w:t>分，得</w:t>
      </w:r>
      <w:r>
        <w:rPr>
          <w:rFonts w:hint="eastAsia" w:ascii="仿宋" w:hAnsi="仿宋" w:eastAsia="仿宋" w:cs="仿宋"/>
          <w:color w:val="000000"/>
          <w:kern w:val="0"/>
          <w:sz w:val="32"/>
          <w:szCs w:val="32"/>
          <w:lang w:val="en-US" w:eastAsia="zh-CN" w:bidi="ar-SA"/>
        </w:rPr>
        <w:t>3.5</w:t>
      </w:r>
      <w:r>
        <w:rPr>
          <w:rFonts w:hint="default" w:ascii="仿宋" w:hAnsi="仿宋" w:eastAsia="仿宋" w:cs="仿宋"/>
          <w:color w:val="000000"/>
          <w:kern w:val="0"/>
          <w:sz w:val="32"/>
          <w:szCs w:val="32"/>
          <w:lang w:val="en-US" w:eastAsia="zh-CN" w:bidi="ar-SA"/>
        </w:rPr>
        <w:t>分</w:t>
      </w:r>
      <w:r>
        <w:rPr>
          <w:rFonts w:hint="eastAsia" w:ascii="仿宋" w:hAnsi="仿宋" w:eastAsia="仿宋" w:cs="仿宋"/>
          <w:color w:val="000000"/>
          <w:kern w:val="0"/>
          <w:sz w:val="32"/>
          <w:szCs w:val="32"/>
          <w:lang w:val="en-US" w:eastAsia="zh-CN" w:bidi="ar-SA"/>
        </w:rPr>
        <w:t>。</w:t>
      </w:r>
    </w:p>
    <w:p w14:paraId="7E535CAB">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w:t>
      </w:r>
      <w:r>
        <w:rPr>
          <w:rFonts w:hint="default" w:ascii="黑体" w:hAnsi="黑体" w:eastAsia="黑体" w:cs="黑体"/>
          <w:b w:val="0"/>
          <w:bCs w:val="0"/>
          <w:color w:val="000000"/>
          <w:kern w:val="0"/>
          <w:sz w:val="32"/>
          <w:szCs w:val="32"/>
          <w:lang w:val="en-US" w:eastAsia="zh-CN" w:bidi="ar-SA"/>
        </w:rPr>
        <w:t>3</w:t>
      </w:r>
      <w:r>
        <w:rPr>
          <w:rFonts w:hint="eastAsia" w:ascii="黑体" w:hAnsi="黑体" w:eastAsia="黑体" w:cs="黑体"/>
          <w:b w:val="0"/>
          <w:bCs w:val="0"/>
          <w:color w:val="000000"/>
          <w:kern w:val="0"/>
          <w:sz w:val="32"/>
          <w:szCs w:val="32"/>
          <w:lang w:val="en-US" w:eastAsia="zh-CN" w:bidi="ar-SA"/>
        </w:rPr>
        <w:t>）实现效果</w:t>
      </w:r>
    </w:p>
    <w:p w14:paraId="65822809">
      <w:pPr>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2024年本单位需进行绩效目标管理的部门预算阶段项目共有42个，预期效益指标均已完成的项目个数为38个。</w:t>
      </w:r>
    </w:p>
    <w:p w14:paraId="23C9C979">
      <w:pPr>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color w:val="000000"/>
          <w:kern w:val="0"/>
          <w:sz w:val="32"/>
          <w:szCs w:val="32"/>
          <w:lang w:val="zh-CN" w:eastAsia="zh-CN" w:bidi="ar-SA"/>
        </w:rPr>
      </w:pPr>
      <w:r>
        <w:rPr>
          <w:rFonts w:hint="default" w:ascii="仿宋" w:hAnsi="仿宋" w:eastAsia="仿宋" w:cs="仿宋"/>
          <w:color w:val="000000"/>
          <w:kern w:val="0"/>
          <w:sz w:val="32"/>
          <w:szCs w:val="32"/>
          <w:lang w:val="en-US" w:eastAsia="zh-CN" w:bidi="ar-SA"/>
        </w:rPr>
        <w:t>根据评分标准，该项指标扣</w:t>
      </w:r>
      <w:r>
        <w:rPr>
          <w:rFonts w:hint="eastAsia" w:ascii="仿宋" w:hAnsi="仿宋" w:eastAsia="仿宋" w:cs="仿宋"/>
          <w:color w:val="000000"/>
          <w:kern w:val="0"/>
          <w:sz w:val="32"/>
          <w:szCs w:val="32"/>
          <w:lang w:val="en-US" w:eastAsia="zh-CN" w:bidi="ar-SA"/>
        </w:rPr>
        <w:t>0.5</w:t>
      </w:r>
      <w:r>
        <w:rPr>
          <w:rFonts w:hint="default" w:ascii="仿宋" w:hAnsi="仿宋" w:eastAsia="仿宋" w:cs="仿宋"/>
          <w:color w:val="000000"/>
          <w:kern w:val="0"/>
          <w:sz w:val="32"/>
          <w:szCs w:val="32"/>
          <w:lang w:val="en-US" w:eastAsia="zh-CN" w:bidi="ar-SA"/>
        </w:rPr>
        <w:t>分，得</w:t>
      </w:r>
      <w:r>
        <w:rPr>
          <w:rFonts w:hint="eastAsia" w:ascii="仿宋" w:hAnsi="仿宋" w:eastAsia="仿宋" w:cs="仿宋"/>
          <w:color w:val="000000"/>
          <w:kern w:val="0"/>
          <w:sz w:val="32"/>
          <w:szCs w:val="32"/>
          <w:lang w:val="en-US" w:eastAsia="zh-CN" w:bidi="ar-SA"/>
        </w:rPr>
        <w:t>2.5</w:t>
      </w:r>
      <w:r>
        <w:rPr>
          <w:rFonts w:hint="default" w:ascii="仿宋" w:hAnsi="仿宋" w:eastAsia="仿宋" w:cs="仿宋"/>
          <w:color w:val="000000"/>
          <w:kern w:val="0"/>
          <w:sz w:val="32"/>
          <w:szCs w:val="32"/>
          <w:lang w:val="en-US" w:eastAsia="zh-CN" w:bidi="ar-SA"/>
        </w:rPr>
        <w:t>分</w:t>
      </w:r>
      <w:r>
        <w:rPr>
          <w:rFonts w:hint="eastAsia" w:ascii="仿宋" w:hAnsi="仿宋" w:eastAsia="仿宋" w:cs="仿宋"/>
          <w:color w:val="000000"/>
          <w:kern w:val="0"/>
          <w:sz w:val="32"/>
          <w:szCs w:val="32"/>
          <w:lang w:val="en-US" w:eastAsia="zh-CN" w:bidi="ar-SA"/>
        </w:rPr>
        <w:t>。</w:t>
      </w:r>
    </w:p>
    <w:p w14:paraId="6F1F1E2E">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zh-CN" w:eastAsia="zh-CN" w:bidi="ar-SA"/>
        </w:rPr>
        <w:t>（</w:t>
      </w:r>
      <w:r>
        <w:rPr>
          <w:rFonts w:hint="eastAsia" w:ascii="黑体" w:hAnsi="黑体" w:eastAsia="黑体" w:cs="黑体"/>
          <w:b w:val="0"/>
          <w:bCs w:val="0"/>
          <w:color w:val="000000"/>
          <w:kern w:val="0"/>
          <w:sz w:val="32"/>
          <w:szCs w:val="32"/>
          <w:lang w:val="zh-CN" w:eastAsia="zh-CN" w:bidi="ar-SA"/>
        </w:rPr>
        <w:t>三</w:t>
      </w:r>
      <w:r>
        <w:rPr>
          <w:rFonts w:hint="default" w:ascii="黑体" w:hAnsi="黑体" w:eastAsia="黑体" w:cs="黑体"/>
          <w:b w:val="0"/>
          <w:bCs w:val="0"/>
          <w:color w:val="000000"/>
          <w:kern w:val="0"/>
          <w:sz w:val="32"/>
          <w:szCs w:val="32"/>
          <w:lang w:val="zh-CN" w:eastAsia="zh-CN" w:bidi="ar-SA"/>
        </w:rPr>
        <w:t>）重点领域绩效分析。</w:t>
      </w:r>
    </w:p>
    <w:p w14:paraId="062BD6DB">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1.</w:t>
      </w:r>
      <w:r>
        <w:rPr>
          <w:rFonts w:hint="default" w:ascii="黑体" w:hAnsi="黑体" w:eastAsia="黑体" w:cs="黑体"/>
          <w:b w:val="0"/>
          <w:bCs w:val="0"/>
          <w:color w:val="000000"/>
          <w:kern w:val="0"/>
          <w:sz w:val="32"/>
          <w:szCs w:val="32"/>
          <w:lang w:val="en-US" w:eastAsia="zh-CN" w:bidi="ar-SA"/>
        </w:rPr>
        <w:t>行政事业性国有资产绩效分析</w:t>
      </w:r>
    </w:p>
    <w:p w14:paraId="3C63AA1F">
      <w:pPr>
        <w:keepNext w:val="0"/>
        <w:keepLines w:val="0"/>
        <w:pageBreakBefore w:val="0"/>
        <w:widowControl w:val="0"/>
        <w:numPr>
          <w:ilvl w:val="0"/>
          <w:numId w:val="0"/>
        </w:numPr>
        <w:kinsoku/>
        <w:wordWrap/>
        <w:overflowPunct/>
        <w:topLinePunct w:val="0"/>
        <w:autoSpaceDE/>
        <w:autoSpaceDN/>
        <w:bidi w:val="0"/>
        <w:adjustRightInd w:val="0"/>
        <w:snapToGrid w:val="0"/>
        <w:spacing w:line="480" w:lineRule="exact"/>
        <w:ind w:firstLine="640" w:firstLineChars="200"/>
        <w:contextualSpacing/>
        <w:jc w:val="both"/>
        <w:textAlignment w:val="auto"/>
        <w:outlineLvl w:val="9"/>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度，本单位无资产配置预算，但严格按照相关文件要求，做好国有资产的清理盘点、统计报告及日常监督检查工作，2024年度国有资产基础管理、日常管理、效率管理等方面整体效益较好，有效保障了国有资产安全，提高了国有资产利用率</w:t>
      </w:r>
      <w:r>
        <w:rPr>
          <w:rFonts w:hint="default" w:ascii="仿宋" w:hAnsi="仿宋" w:eastAsia="仿宋" w:cs="仿宋"/>
          <w:color w:val="000000"/>
          <w:kern w:val="0"/>
          <w:sz w:val="32"/>
          <w:szCs w:val="32"/>
          <w:lang w:val="en-US" w:eastAsia="zh-CN" w:bidi="ar-SA"/>
        </w:rPr>
        <w:t>。</w:t>
      </w:r>
    </w:p>
    <w:p w14:paraId="486957EE">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en-US" w:eastAsia="zh-CN" w:bidi="ar-SA"/>
        </w:rPr>
      </w:pPr>
      <w:r>
        <w:rPr>
          <w:rFonts w:hint="default" w:ascii="黑体" w:hAnsi="黑体" w:eastAsia="黑体" w:cs="黑体"/>
          <w:b w:val="0"/>
          <w:bCs w:val="0"/>
          <w:color w:val="000000"/>
          <w:kern w:val="0"/>
          <w:sz w:val="32"/>
          <w:szCs w:val="32"/>
          <w:lang w:val="zh-CN" w:eastAsia="zh-CN" w:bidi="ar-SA"/>
        </w:rPr>
        <w:t>（四）绩效结果应用情况。</w:t>
      </w:r>
    </w:p>
    <w:p w14:paraId="6E042A03">
      <w:pPr>
        <w:keepNext w:val="0"/>
        <w:keepLines w:val="0"/>
        <w:pageBreakBefore w:val="0"/>
        <w:widowControl w:val="0"/>
        <w:kinsoku/>
        <w:wordWrap/>
        <w:overflowPunct/>
        <w:topLinePunct w:val="0"/>
        <w:autoSpaceDE/>
        <w:autoSpaceDN/>
        <w:bidi w:val="0"/>
        <w:snapToGrid w:val="0"/>
        <w:spacing w:line="4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w:t>
      </w:r>
      <w:r>
        <w:rPr>
          <w:rFonts w:hint="eastAsia" w:ascii="仿宋" w:hAnsi="仿宋" w:eastAsia="仿宋" w:cs="仿宋"/>
          <w:color w:val="000000"/>
          <w:kern w:val="0"/>
          <w:sz w:val="32"/>
          <w:szCs w:val="32"/>
          <w:lang w:val="zh-CN" w:eastAsia="zh-CN" w:bidi="ar-SA"/>
        </w:rPr>
        <w:t>为进一步提高行政事业单位内部管理水平和风险防范能力，规范内部控制，加强廉政风险防控机制建设，本单位在对预算、收支、政府采购、资产、建设项目、合同等各类经济业务活动流程梳理的基础上，明确业务环节，系统分析经济活动风险，确定风险点，选择应对策略，</w:t>
      </w:r>
      <w:r>
        <w:rPr>
          <w:rFonts w:hint="eastAsia" w:ascii="仿宋" w:hAnsi="仿宋" w:eastAsia="仿宋" w:cs="仿宋"/>
          <w:color w:val="000000"/>
          <w:kern w:val="0"/>
          <w:sz w:val="32"/>
          <w:szCs w:val="32"/>
          <w:lang w:val="en-US" w:eastAsia="zh-CN" w:bidi="ar-SA"/>
        </w:rPr>
        <w:t>修改完善相关内部控制制度</w:t>
      </w:r>
      <w:r>
        <w:rPr>
          <w:rFonts w:hint="eastAsia" w:ascii="仿宋" w:hAnsi="仿宋" w:eastAsia="仿宋" w:cs="仿宋"/>
          <w:color w:val="000000"/>
          <w:kern w:val="0"/>
          <w:sz w:val="32"/>
          <w:szCs w:val="32"/>
          <w:lang w:val="zh-CN" w:eastAsia="zh-CN" w:bidi="ar-SA"/>
        </w:rPr>
        <w:t>，本单位严格按照内控制度进行预算绩效管理，并按照相关要求将绩效信息随同</w:t>
      </w:r>
      <w:r>
        <w:rPr>
          <w:rFonts w:hint="eastAsia" w:ascii="仿宋" w:hAnsi="仿宋" w:eastAsia="仿宋" w:cs="仿宋"/>
          <w:color w:val="000000"/>
          <w:kern w:val="0"/>
          <w:sz w:val="32"/>
          <w:szCs w:val="32"/>
          <w:lang w:val="en-US" w:eastAsia="zh-CN" w:bidi="ar-SA"/>
        </w:rPr>
        <w:t>预</w:t>
      </w:r>
      <w:r>
        <w:rPr>
          <w:rFonts w:hint="eastAsia" w:ascii="仿宋" w:hAnsi="仿宋" w:eastAsia="仿宋" w:cs="仿宋"/>
          <w:color w:val="000000"/>
          <w:kern w:val="0"/>
          <w:sz w:val="32"/>
          <w:szCs w:val="32"/>
          <w:lang w:val="zh-CN" w:eastAsia="zh-CN" w:bidi="ar-SA"/>
        </w:rPr>
        <w:t>决算公开。</w:t>
      </w:r>
    </w:p>
    <w:p w14:paraId="0049CC33">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en-US" w:eastAsia="zh-CN" w:bidi="ar-SA"/>
        </w:rPr>
      </w:pPr>
      <w:r>
        <w:rPr>
          <w:rFonts w:hint="default" w:ascii="黑体" w:hAnsi="黑体" w:eastAsia="黑体" w:cs="黑体"/>
          <w:b w:val="0"/>
          <w:bCs w:val="0"/>
          <w:color w:val="000000"/>
          <w:kern w:val="0"/>
          <w:sz w:val="32"/>
          <w:szCs w:val="32"/>
          <w:lang w:val="en-US" w:eastAsia="zh-CN" w:bidi="ar-SA"/>
        </w:rPr>
        <w:t>四、评价结论及建议</w:t>
      </w:r>
    </w:p>
    <w:p w14:paraId="01949098">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zh-CN" w:eastAsia="zh-CN" w:bidi="ar-SA"/>
        </w:rPr>
        <w:t>（一）评价结论。</w:t>
      </w:r>
    </w:p>
    <w:p w14:paraId="63B04A55">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本单位针对</w:t>
      </w:r>
      <w:r>
        <w:rPr>
          <w:rFonts w:hint="default" w:ascii="仿宋" w:hAnsi="仿宋" w:eastAsia="仿宋" w:cs="仿宋"/>
          <w:color w:val="000000"/>
          <w:kern w:val="0"/>
          <w:sz w:val="32"/>
          <w:szCs w:val="32"/>
          <w:lang w:val="en-US" w:eastAsia="zh-CN" w:bidi="ar-SA"/>
        </w:rPr>
        <w:t>本次财政预算绩效自评工作，严格按照《预算绩效评价共性指标体系框架》及相关财务管理规定，</w:t>
      </w:r>
      <w:r>
        <w:rPr>
          <w:rFonts w:hint="eastAsia" w:ascii="仿宋" w:hAnsi="仿宋" w:eastAsia="仿宋" w:cs="仿宋"/>
          <w:color w:val="000000"/>
          <w:kern w:val="0"/>
          <w:sz w:val="32"/>
          <w:szCs w:val="32"/>
          <w:lang w:val="en-US" w:eastAsia="zh-CN" w:bidi="ar-SA"/>
        </w:rPr>
        <w:t>结合本单位2024年度工作开展情况及履职情况，</w:t>
      </w:r>
      <w:r>
        <w:rPr>
          <w:rFonts w:hint="default" w:ascii="仿宋" w:hAnsi="仿宋" w:eastAsia="仿宋" w:cs="仿宋"/>
          <w:color w:val="000000"/>
          <w:kern w:val="0"/>
          <w:sz w:val="32"/>
          <w:szCs w:val="32"/>
          <w:lang w:val="en-US" w:eastAsia="zh-CN" w:bidi="ar-SA"/>
        </w:rPr>
        <w:t>对</w:t>
      </w:r>
      <w:r>
        <w:rPr>
          <w:rFonts w:hint="eastAsia" w:ascii="仿宋" w:hAnsi="仿宋" w:eastAsia="仿宋" w:cs="仿宋"/>
          <w:color w:val="000000"/>
          <w:kern w:val="0"/>
          <w:sz w:val="32"/>
          <w:szCs w:val="32"/>
          <w:lang w:val="en-US" w:eastAsia="zh-CN" w:bidi="ar-SA"/>
        </w:rPr>
        <w:t>2024年度部门</w:t>
      </w:r>
      <w:r>
        <w:rPr>
          <w:rFonts w:hint="default" w:ascii="仿宋" w:hAnsi="仿宋" w:eastAsia="仿宋" w:cs="仿宋"/>
          <w:color w:val="000000"/>
          <w:kern w:val="0"/>
          <w:sz w:val="32"/>
          <w:szCs w:val="32"/>
          <w:lang w:val="en-US" w:eastAsia="zh-CN" w:bidi="ar-SA"/>
        </w:rPr>
        <w:t>预算资金的使用情况进行了全面、深入的分析和评价。经过自评，我们得出以下结论</w:t>
      </w:r>
      <w:r>
        <w:rPr>
          <w:rFonts w:hint="eastAsia" w:ascii="仿宋" w:hAnsi="仿宋" w:eastAsia="仿宋" w:cs="仿宋"/>
          <w:color w:val="000000"/>
          <w:kern w:val="0"/>
          <w:sz w:val="32"/>
          <w:szCs w:val="32"/>
          <w:lang w:val="en-US" w:eastAsia="zh-CN" w:bidi="ar-SA"/>
        </w:rPr>
        <w:t>：2024年度，本单位切实履行了部门职责，部门预算管理、财务管理、资产管理和采购管理等规范有序，较好地完成了各项年度任务，部门预算支出使用效益达到预期，但本单位在年度预算项目绩效指标编制方面，其个别指标设置质量相对不高，按照部门预算绩效评价指标体系中指标评分标准要求，2024年本单位部门预算绩效评价综合得分90.28分；</w:t>
      </w:r>
      <w:r>
        <w:rPr>
          <w:rFonts w:hint="eastAsia" w:eastAsia="仿宋_GB2312" w:cs="仿宋_GB2312"/>
          <w:sz w:val="32"/>
          <w:szCs w:val="32"/>
        </w:rPr>
        <w:t>；</w:t>
      </w:r>
      <w:r>
        <w:rPr>
          <w:rFonts w:hint="eastAsia" w:eastAsia="仿宋_GB2312" w:cs="仿宋_GB2312"/>
          <w:sz w:val="32"/>
          <w:szCs w:val="32"/>
          <w:lang w:val="en-US" w:eastAsia="zh-CN"/>
        </w:rPr>
        <w:t>2023年第三批和第四批省级项目</w:t>
      </w:r>
      <w:r>
        <w:rPr>
          <w:rFonts w:hint="eastAsia" w:eastAsia="仿宋_GB2312" w:cs="仿宋_GB2312"/>
          <w:sz w:val="32"/>
          <w:szCs w:val="32"/>
        </w:rPr>
        <w:t>预算项目绩效自评得分为</w:t>
      </w:r>
      <w:r>
        <w:rPr>
          <w:rFonts w:hint="eastAsia" w:eastAsia="仿宋_GB2312" w:cs="仿宋_GB2312"/>
          <w:sz w:val="32"/>
          <w:szCs w:val="32"/>
          <w:lang w:val="en-US" w:eastAsia="zh-CN"/>
        </w:rPr>
        <w:t>100</w:t>
      </w:r>
      <w:r>
        <w:rPr>
          <w:rFonts w:hint="eastAsia" w:eastAsia="仿宋_GB2312" w:cs="仿宋_GB2312"/>
          <w:sz w:val="32"/>
          <w:szCs w:val="32"/>
        </w:rPr>
        <w:t>分，绩效自评</w:t>
      </w:r>
      <w:r>
        <w:rPr>
          <w:rFonts w:hint="eastAsia" w:ascii="仿宋" w:hAnsi="仿宋" w:eastAsia="仿宋" w:cs="仿宋"/>
          <w:color w:val="000000"/>
          <w:kern w:val="0"/>
          <w:sz w:val="32"/>
          <w:szCs w:val="32"/>
          <w:lang w:val="en-US" w:eastAsia="zh-CN" w:bidi="ar-SA"/>
        </w:rPr>
        <w:t>综述该项目的开展将达古冰川景区自然风光、冰川变迁、红色景点、珍惜动植物、藏族建筑等研学内容设计成数字化内容，并集成到VR系统中，游客可以实现交互操作，有效增强游客旅游体验，提高游客旅游体验感和互动参与感等。</w:t>
      </w:r>
      <w:r>
        <w:rPr>
          <w:rFonts w:hint="eastAsia" w:eastAsia="仿宋_GB2312" w:cs="仿宋_GB2312"/>
          <w:sz w:val="32"/>
          <w:szCs w:val="32"/>
        </w:rPr>
        <w:t>绩效自评报告详见附件。</w:t>
      </w:r>
    </w:p>
    <w:p w14:paraId="738195AD">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default" w:ascii="黑体" w:hAnsi="黑体" w:eastAsia="黑体" w:cs="黑体"/>
          <w:b w:val="0"/>
          <w:bCs w:val="0"/>
          <w:color w:val="000000"/>
          <w:kern w:val="0"/>
          <w:sz w:val="32"/>
          <w:szCs w:val="32"/>
          <w:lang w:val="zh-CN" w:eastAsia="zh-CN" w:bidi="ar-SA"/>
        </w:rPr>
      </w:pPr>
      <w:r>
        <w:rPr>
          <w:rFonts w:hint="default" w:ascii="黑体" w:hAnsi="黑体" w:eastAsia="黑体" w:cs="黑体"/>
          <w:b w:val="0"/>
          <w:bCs w:val="0"/>
          <w:color w:val="000000"/>
          <w:kern w:val="0"/>
          <w:sz w:val="32"/>
          <w:szCs w:val="32"/>
          <w:lang w:val="zh-CN" w:eastAsia="zh-CN" w:bidi="ar-SA"/>
        </w:rPr>
        <w:t>（二）存在问题</w:t>
      </w:r>
    </w:p>
    <w:p w14:paraId="087D954C">
      <w:pPr>
        <w:keepNext w:val="0"/>
        <w:keepLines w:val="0"/>
        <w:pageBreakBefore w:val="0"/>
        <w:widowControl/>
        <w:suppressLineNumbers w:val="0"/>
        <w:kinsoku/>
        <w:wordWrap/>
        <w:overflowPunct/>
        <w:topLinePunct w:val="0"/>
        <w:autoSpaceDE/>
        <w:autoSpaceDN/>
        <w:bidi w:val="0"/>
        <w:spacing w:line="480" w:lineRule="exact"/>
        <w:ind w:firstLine="640" w:firstLineChars="200"/>
        <w:jc w:val="left"/>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1.预算目标设置不够准确：本单位年初在编制单位预算时，缺乏充分调研和科学论证， 导致预算目标与实际绩效目标存在差异，部分项目绩效目标未量化与及时调整。</w:t>
      </w:r>
    </w:p>
    <w:p w14:paraId="04DDE91D">
      <w:pPr>
        <w:pStyle w:val="22"/>
        <w:pageBreakBefore w:val="0"/>
        <w:kinsoku/>
        <w:wordWrap/>
        <w:overflowPunct/>
        <w:topLinePunct w:val="0"/>
        <w:autoSpaceDE/>
        <w:autoSpaceDN/>
        <w:bidi w:val="0"/>
        <w:adjustRightInd w:val="0"/>
        <w:snapToGrid w:val="0"/>
        <w:spacing w:line="480" w:lineRule="exact"/>
        <w:ind w:left="0" w:leftChars="0"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 xml:space="preserve">2.预算支出执行进度有待提升：本单位 2024 年年初预算 3780.70 万元，调整预算数位为4128.99万元，1 至 6 月预算执行数1808.55万元，预算执行率为 42.80%；1 至 10 月预算执行数2908.49万元，预算执行率为70.44%，预算执行进度与预期存在一定差距。 </w:t>
      </w:r>
    </w:p>
    <w:p w14:paraId="4D7D8FD8">
      <w:pPr>
        <w:keepNext w:val="0"/>
        <w:keepLines w:val="0"/>
        <w:pageBreakBefore w:val="0"/>
        <w:widowControl/>
        <w:suppressLineNumbers w:val="0"/>
        <w:kinsoku/>
        <w:wordWrap/>
        <w:overflowPunct/>
        <w:topLinePunct w:val="0"/>
        <w:autoSpaceDE/>
        <w:autoSpaceDN/>
        <w:bidi w:val="0"/>
        <w:spacing w:line="480" w:lineRule="exact"/>
        <w:ind w:left="0" w:leftChars="0" w:firstLine="640" w:firstLineChars="200"/>
        <w:jc w:val="left"/>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3.预算执行不规范：在预算执行过程中，经济分类科目不规范，导致在预算执行过程中多次调整经济分类科目，如：差旅费支出年初预算47.52万元，实际支出83.82万元。</w:t>
      </w:r>
    </w:p>
    <w:p w14:paraId="10CBDC5E">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firstLine="640" w:firstLineChars="200"/>
        <w:contextualSpacing/>
        <w:jc w:val="left"/>
        <w:textAlignment w:val="auto"/>
        <w:outlineLvl w:val="0"/>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 xml:space="preserve">（三）改进建议 </w:t>
      </w:r>
    </w:p>
    <w:p w14:paraId="67BD97A3">
      <w:pPr>
        <w:keepNext w:val="0"/>
        <w:keepLines w:val="0"/>
        <w:pageBreakBefore w:val="0"/>
        <w:widowControl/>
        <w:suppressLineNumbers w:val="0"/>
        <w:kinsoku/>
        <w:wordWrap/>
        <w:overflowPunct/>
        <w:topLinePunct w:val="0"/>
        <w:autoSpaceDE/>
        <w:autoSpaceDN/>
        <w:bidi w:val="0"/>
        <w:spacing w:line="480" w:lineRule="exact"/>
        <w:ind w:firstLine="640" w:firstLineChars="200"/>
        <w:jc w:val="left"/>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提高预算编制质量：一是加强预算编制的调研和论证工作，确保预算金额与实际需求相符。二是加组织预算编制专题培训，提升预算编制人员能力。三是将绩效目标设置进行具体化和量化，根据实际情况及时调整项目绩效目标，总体提升预算编制质量。</w:t>
      </w:r>
    </w:p>
    <w:p w14:paraId="7556B47E">
      <w:pPr>
        <w:keepNext w:val="0"/>
        <w:keepLines w:val="0"/>
        <w:pageBreakBefore w:val="0"/>
        <w:widowControl/>
        <w:suppressLineNumbers w:val="0"/>
        <w:kinsoku/>
        <w:wordWrap/>
        <w:overflowPunct/>
        <w:topLinePunct w:val="0"/>
        <w:autoSpaceDE/>
        <w:autoSpaceDN/>
        <w:bidi w:val="0"/>
        <w:spacing w:line="480" w:lineRule="exact"/>
        <w:ind w:firstLine="640" w:firstLineChars="200"/>
        <w:jc w:val="left"/>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 xml:space="preserve">2.提高预算支出执行的效率：一是定期监控和评估，建立定期监控机制，定期评估预算执行进度，及时发现和解决问题；使用预算管理软件或工具进行实时监控和数据分析。二是加快项目推进，督促已完工项目及时结算。三是加强预算调整机制，建立灵活的预算调整机制，根据实际情况及时调整预算，确保预算执行更加灵活高效；对执行过程中发现的预算不足或剩余进行科学调整，优化资源配置。 </w:t>
      </w:r>
    </w:p>
    <w:p w14:paraId="0BEF99CC">
      <w:pPr>
        <w:keepNext w:val="0"/>
        <w:keepLines w:val="0"/>
        <w:pageBreakBefore w:val="0"/>
        <w:widowControl/>
        <w:suppressLineNumbers w:val="0"/>
        <w:kinsoku/>
        <w:wordWrap/>
        <w:overflowPunct/>
        <w:topLinePunct w:val="0"/>
        <w:autoSpaceDE/>
        <w:autoSpaceDN/>
        <w:bidi w:val="0"/>
        <w:spacing w:line="480" w:lineRule="exact"/>
        <w:ind w:firstLine="640" w:firstLineChars="200"/>
        <w:jc w:val="left"/>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3.加强预算管理，规范预算执行：一是细化预算编制，进一步完善基本支出、项目支出等各项支出标准，健全各项资产配备标准，完善公用经费管理的支出管理规范，从制度层面约束支出行为。二是加强资金支付审核，强化预算刚性，对公用经费严格控制调整追加，坚持先有预算后有支出，不符合财政财务制度规定的支出，做到不予报销，减少压缩直接用于公务活动的支出。三是健全预算公开制度。明确包括公用经费在内的部门预算支出情况，公开的时间、形式及细化程度应规范统一要求，细化公用经费的解释说明，逐步扩大公开范围。</w:t>
      </w:r>
    </w:p>
    <w:p w14:paraId="40B11FC4">
      <w:pPr>
        <w:keepNext w:val="0"/>
        <w:keepLines w:val="0"/>
        <w:pageBreakBefore w:val="0"/>
        <w:widowControl/>
        <w:suppressLineNumbers w:val="0"/>
        <w:kinsoku/>
        <w:wordWrap/>
        <w:overflowPunct/>
        <w:topLinePunct w:val="0"/>
        <w:autoSpaceDE/>
        <w:autoSpaceDN/>
        <w:bidi w:val="0"/>
        <w:spacing w:line="480" w:lineRule="exact"/>
        <w:jc w:val="left"/>
        <w:rPr>
          <w:rFonts w:hint="eastAsia" w:ascii="仿宋" w:hAnsi="仿宋" w:eastAsia="仿宋" w:cs="仿宋"/>
          <w:color w:val="000000"/>
          <w:kern w:val="0"/>
          <w:sz w:val="32"/>
          <w:szCs w:val="32"/>
          <w:lang w:val="en-US" w:eastAsia="zh-CN" w:bidi="ar-SA"/>
        </w:rPr>
      </w:pPr>
    </w:p>
    <w:p w14:paraId="3515832C">
      <w:pPr>
        <w:keepNext w:val="0"/>
        <w:keepLines w:val="0"/>
        <w:pageBreakBefore w:val="0"/>
        <w:widowControl/>
        <w:suppressLineNumbers w:val="0"/>
        <w:kinsoku/>
        <w:wordWrap/>
        <w:overflowPunct/>
        <w:topLinePunct w:val="0"/>
        <w:autoSpaceDE/>
        <w:autoSpaceDN/>
        <w:bidi w:val="0"/>
        <w:spacing w:line="480" w:lineRule="exact"/>
        <w:jc w:val="left"/>
        <w:rPr>
          <w:rFonts w:hint="eastAsia" w:ascii="仿宋" w:hAnsi="仿宋" w:eastAsia="仿宋" w:cs="仿宋"/>
          <w:color w:val="000000"/>
          <w:kern w:val="0"/>
          <w:sz w:val="32"/>
          <w:szCs w:val="32"/>
          <w:lang w:val="en-US" w:eastAsia="zh-CN" w:bidi="ar-SA"/>
        </w:rPr>
      </w:pPr>
      <w:r>
        <w:rPr>
          <w:rFonts w:hint="default" w:ascii="仿宋" w:hAnsi="仿宋" w:eastAsia="仿宋" w:cs="仿宋"/>
          <w:color w:val="000000"/>
          <w:kern w:val="0"/>
          <w:sz w:val="32"/>
          <w:szCs w:val="32"/>
          <w:lang w:val="en-US" w:eastAsia="zh-CN" w:bidi="ar-SA"/>
        </w:rPr>
        <w:t>附表：</w:t>
      </w:r>
      <w:r>
        <w:rPr>
          <w:rFonts w:hint="eastAsia" w:ascii="仿宋" w:hAnsi="仿宋" w:eastAsia="仿宋" w:cs="仿宋"/>
          <w:color w:val="000000"/>
          <w:kern w:val="0"/>
          <w:sz w:val="32"/>
          <w:szCs w:val="32"/>
          <w:lang w:val="en-US" w:eastAsia="zh-CN" w:bidi="ar-SA"/>
        </w:rPr>
        <w:t>1.部门预算绩效自评打分表</w:t>
      </w:r>
    </w:p>
    <w:p w14:paraId="10FF85BF">
      <w:pPr>
        <w:keepNext w:val="0"/>
        <w:keepLines w:val="0"/>
        <w:pageBreakBefore w:val="0"/>
        <w:widowControl/>
        <w:suppressLineNumbers w:val="0"/>
        <w:kinsoku/>
        <w:wordWrap/>
        <w:overflowPunct/>
        <w:topLinePunct w:val="0"/>
        <w:autoSpaceDE/>
        <w:autoSpaceDN/>
        <w:bidi w:val="0"/>
        <w:spacing w:line="480" w:lineRule="exact"/>
        <w:ind w:firstLine="960" w:firstLineChars="300"/>
        <w:jc w:val="left"/>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w:t>
      </w:r>
      <w:r>
        <w:rPr>
          <w:rFonts w:hint="default" w:ascii="仿宋" w:hAnsi="仿宋" w:eastAsia="仿宋" w:cs="仿宋"/>
          <w:color w:val="000000"/>
          <w:kern w:val="0"/>
          <w:sz w:val="32"/>
          <w:szCs w:val="32"/>
          <w:lang w:val="en-US" w:eastAsia="zh-CN" w:bidi="ar-SA"/>
        </w:rPr>
        <w:t>部门整体绩效目标完成情况自评表</w:t>
      </w:r>
    </w:p>
    <w:p w14:paraId="098BE4F5">
      <w:pPr>
        <w:keepNext w:val="0"/>
        <w:keepLines w:val="0"/>
        <w:pageBreakBefore w:val="0"/>
        <w:widowControl/>
        <w:suppressLineNumbers w:val="0"/>
        <w:kinsoku/>
        <w:wordWrap/>
        <w:overflowPunct/>
        <w:topLinePunct w:val="0"/>
        <w:autoSpaceDE/>
        <w:autoSpaceDN/>
        <w:bidi w:val="0"/>
        <w:spacing w:line="480" w:lineRule="exact"/>
        <w:ind w:firstLine="960" w:firstLineChars="300"/>
        <w:jc w:val="left"/>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3.2023年第三批和第四批省级项目专项资金绩效自评</w:t>
      </w:r>
    </w:p>
    <w:p w14:paraId="036D058A">
      <w:pPr>
        <w:keepNext w:val="0"/>
        <w:keepLines w:val="0"/>
        <w:pageBreakBefore w:val="0"/>
        <w:widowControl/>
        <w:suppressLineNumbers w:val="0"/>
        <w:kinsoku/>
        <w:wordWrap/>
        <w:overflowPunct/>
        <w:topLinePunct w:val="0"/>
        <w:autoSpaceDE/>
        <w:autoSpaceDN/>
        <w:bidi w:val="0"/>
        <w:spacing w:line="480" w:lineRule="exact"/>
        <w:ind w:firstLine="960" w:firstLineChars="300"/>
        <w:jc w:val="left"/>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4.阿坝州第八批院士（专家)工作站项目绩效自评</w:t>
      </w:r>
    </w:p>
    <w:p w14:paraId="60DCD900">
      <w:pPr>
        <w:keepNext w:val="0"/>
        <w:keepLines w:val="0"/>
        <w:pageBreakBefore w:val="0"/>
        <w:widowControl/>
        <w:suppressLineNumbers w:val="0"/>
        <w:kinsoku/>
        <w:wordWrap/>
        <w:overflowPunct/>
        <w:topLinePunct w:val="0"/>
        <w:autoSpaceDE/>
        <w:autoSpaceDN/>
        <w:bidi w:val="0"/>
        <w:spacing w:line="480" w:lineRule="exact"/>
        <w:ind w:firstLine="960" w:firstLineChars="300"/>
        <w:jc w:val="left"/>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5.</w:t>
      </w:r>
      <w:r>
        <w:rPr>
          <w:rFonts w:hint="default" w:ascii="仿宋" w:hAnsi="仿宋" w:eastAsia="仿宋" w:cs="仿宋"/>
          <w:color w:val="000000"/>
          <w:kern w:val="0"/>
          <w:sz w:val="32"/>
          <w:szCs w:val="32"/>
          <w:lang w:val="en-US" w:eastAsia="zh-CN" w:bidi="ar-SA"/>
        </w:rPr>
        <w:t>大气污染防治及环境空气质量检测项目绩效自评</w:t>
      </w:r>
    </w:p>
    <w:p w14:paraId="2581EF73">
      <w:pPr>
        <w:keepNext w:val="0"/>
        <w:keepLines w:val="0"/>
        <w:pageBreakBefore w:val="0"/>
        <w:widowControl/>
        <w:suppressLineNumbers w:val="0"/>
        <w:kinsoku/>
        <w:wordWrap/>
        <w:overflowPunct/>
        <w:topLinePunct w:val="0"/>
        <w:autoSpaceDE/>
        <w:autoSpaceDN/>
        <w:bidi w:val="0"/>
        <w:spacing w:line="480" w:lineRule="exact"/>
        <w:ind w:firstLine="960" w:firstLineChars="300"/>
        <w:jc w:val="left"/>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6.</w:t>
      </w:r>
      <w:r>
        <w:rPr>
          <w:rFonts w:hint="default" w:ascii="仿宋" w:hAnsi="仿宋" w:eastAsia="仿宋" w:cs="仿宋"/>
          <w:color w:val="000000"/>
          <w:kern w:val="0"/>
          <w:sz w:val="32"/>
          <w:szCs w:val="32"/>
          <w:lang w:val="en-US" w:eastAsia="zh-CN" w:bidi="ar-SA"/>
        </w:rPr>
        <w:t>三打古自然保护区生态保护恢复项目绩效自评</w:t>
      </w:r>
    </w:p>
    <w:p w14:paraId="5EEF8C8C">
      <w:pPr>
        <w:keepNext w:val="0"/>
        <w:keepLines w:val="0"/>
        <w:pageBreakBefore w:val="0"/>
        <w:widowControl/>
        <w:suppressLineNumbers w:val="0"/>
        <w:kinsoku/>
        <w:wordWrap/>
        <w:overflowPunct/>
        <w:topLinePunct w:val="0"/>
        <w:autoSpaceDE/>
        <w:autoSpaceDN/>
        <w:bidi w:val="0"/>
        <w:spacing w:line="480" w:lineRule="exact"/>
        <w:ind w:firstLine="960" w:firstLineChars="300"/>
        <w:jc w:val="left"/>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7.</w:t>
      </w:r>
      <w:r>
        <w:rPr>
          <w:rFonts w:hint="default" w:ascii="仿宋" w:hAnsi="仿宋" w:eastAsia="仿宋" w:cs="仿宋"/>
          <w:color w:val="000000"/>
          <w:kern w:val="0"/>
          <w:sz w:val="32"/>
          <w:szCs w:val="32"/>
          <w:lang w:val="en-US" w:eastAsia="zh-CN" w:bidi="ar-SA"/>
        </w:rPr>
        <w:t>数字化指挥平台租赁费绩效自评</w:t>
      </w:r>
    </w:p>
    <w:p w14:paraId="492728B0">
      <w:pPr>
        <w:keepNext w:val="0"/>
        <w:keepLines w:val="0"/>
        <w:pageBreakBefore w:val="0"/>
        <w:widowControl/>
        <w:suppressLineNumbers w:val="0"/>
        <w:kinsoku/>
        <w:wordWrap/>
        <w:overflowPunct/>
        <w:topLinePunct w:val="0"/>
        <w:autoSpaceDE/>
        <w:autoSpaceDN/>
        <w:bidi w:val="0"/>
        <w:spacing w:line="480" w:lineRule="exact"/>
        <w:ind w:firstLine="960" w:firstLineChars="300"/>
        <w:jc w:val="left"/>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8.</w:t>
      </w:r>
      <w:r>
        <w:rPr>
          <w:rFonts w:hint="default" w:ascii="仿宋" w:hAnsi="仿宋" w:eastAsia="仿宋" w:cs="仿宋"/>
          <w:color w:val="000000"/>
          <w:kern w:val="0"/>
          <w:sz w:val="32"/>
          <w:szCs w:val="32"/>
          <w:lang w:val="en-US" w:eastAsia="zh-CN" w:bidi="ar-SA"/>
        </w:rPr>
        <w:t>水生态环境质量建设及水污染防治能力建设绩效自评</w:t>
      </w:r>
    </w:p>
    <w:p w14:paraId="575380B2">
      <w:pPr>
        <w:keepNext w:val="0"/>
        <w:keepLines w:val="0"/>
        <w:pageBreakBefore w:val="0"/>
        <w:widowControl/>
        <w:suppressLineNumbers w:val="0"/>
        <w:kinsoku/>
        <w:wordWrap/>
        <w:overflowPunct/>
        <w:topLinePunct w:val="0"/>
        <w:autoSpaceDE/>
        <w:autoSpaceDN/>
        <w:bidi w:val="0"/>
        <w:spacing w:line="480" w:lineRule="exact"/>
        <w:ind w:firstLine="960" w:firstLineChars="300"/>
        <w:jc w:val="left"/>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9.</w:t>
      </w:r>
      <w:r>
        <w:rPr>
          <w:rFonts w:hint="default" w:ascii="仿宋" w:hAnsi="仿宋" w:eastAsia="仿宋" w:cs="仿宋"/>
          <w:color w:val="000000"/>
          <w:kern w:val="0"/>
          <w:sz w:val="32"/>
          <w:szCs w:val="32"/>
          <w:lang w:val="en-US" w:eastAsia="zh-CN" w:bidi="ar-SA"/>
        </w:rPr>
        <w:t>营销费绩效自评</w:t>
      </w:r>
    </w:p>
    <w:p w14:paraId="33E0C02B">
      <w:pPr>
        <w:keepNext w:val="0"/>
        <w:keepLines w:val="0"/>
        <w:pageBreakBefore w:val="0"/>
        <w:widowControl/>
        <w:suppressLineNumbers w:val="0"/>
        <w:kinsoku/>
        <w:wordWrap/>
        <w:overflowPunct/>
        <w:topLinePunct w:val="0"/>
        <w:autoSpaceDE/>
        <w:autoSpaceDN/>
        <w:bidi w:val="0"/>
        <w:spacing w:line="480" w:lineRule="exact"/>
        <w:ind w:firstLine="960" w:firstLineChars="300"/>
        <w:jc w:val="left"/>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10.</w:t>
      </w:r>
      <w:r>
        <w:rPr>
          <w:rFonts w:hint="default" w:ascii="仿宋" w:hAnsi="仿宋" w:eastAsia="仿宋" w:cs="仿宋"/>
          <w:color w:val="000000"/>
          <w:kern w:val="0"/>
          <w:sz w:val="32"/>
          <w:szCs w:val="32"/>
          <w:lang w:val="en-US" w:eastAsia="zh-CN" w:bidi="ar-SA"/>
        </w:rPr>
        <w:t>著名画家画“冰川”主题宣传活动绩效自评</w:t>
      </w:r>
    </w:p>
    <w:p w14:paraId="62DEEB5B">
      <w:pPr>
        <w:keepNext w:val="0"/>
        <w:keepLines w:val="0"/>
        <w:pageBreakBefore w:val="0"/>
        <w:widowControl/>
        <w:suppressLineNumbers w:val="0"/>
        <w:kinsoku/>
        <w:wordWrap/>
        <w:overflowPunct/>
        <w:topLinePunct w:val="0"/>
        <w:autoSpaceDE/>
        <w:autoSpaceDN/>
        <w:bidi w:val="0"/>
        <w:spacing w:line="480" w:lineRule="exact"/>
        <w:ind w:firstLine="640" w:firstLineChars="200"/>
        <w:jc w:val="left"/>
        <w:rPr>
          <w:rFonts w:hint="eastAsia" w:ascii="仿宋" w:hAnsi="仿宋" w:eastAsia="仿宋" w:cs="仿宋"/>
          <w:color w:val="000000"/>
          <w:kern w:val="0"/>
          <w:sz w:val="32"/>
          <w:szCs w:val="32"/>
          <w:lang w:val="en-US" w:eastAsia="zh-CN" w:bidi="ar-SA"/>
        </w:rPr>
      </w:pPr>
    </w:p>
    <w:p w14:paraId="7AD5A68E">
      <w:pPr>
        <w:pageBreakBefore w:val="0"/>
        <w:kinsoku/>
        <w:wordWrap/>
        <w:overflowPunct/>
        <w:topLinePunct w:val="0"/>
        <w:bidi w:val="0"/>
        <w:spacing w:line="480" w:lineRule="exact"/>
        <w:rPr>
          <w:rFonts w:hint="default"/>
          <w:lang w:val="en-US" w:eastAsia="zh-CN"/>
        </w:rPr>
      </w:pPr>
    </w:p>
    <w:p w14:paraId="44B50C6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outlineLvl w:val="9"/>
        <w:rPr>
          <w:rFonts w:hint="eastAsia" w:ascii="Times New Roman" w:hAnsi="Times New Roman" w:eastAsia="方正小标宋简体" w:cs="Times New Roman"/>
          <w:i w:val="0"/>
          <w:caps w:val="0"/>
          <w:color w:val="auto"/>
          <w:kern w:val="0"/>
          <w:sz w:val="44"/>
          <w:szCs w:val="44"/>
          <w:highlight w:val="none"/>
          <w:u w:val="none"/>
          <w:lang w:val="en-US" w:eastAsia="zh-CN" w:bidi="ar"/>
        </w:rPr>
      </w:pPr>
      <w:r>
        <w:rPr>
          <w:rFonts w:hint="eastAsia" w:ascii="Times New Roman" w:hAnsi="Times New Roman" w:eastAsia="方正小标宋简体" w:cs="Times New Roman"/>
          <w:i w:val="0"/>
          <w:caps w:val="0"/>
          <w:color w:val="auto"/>
          <w:kern w:val="0"/>
          <w:sz w:val="44"/>
          <w:szCs w:val="44"/>
          <w:highlight w:val="none"/>
          <w:u w:val="none"/>
          <w:lang w:val="en-US" w:eastAsia="zh-CN" w:bidi="ar"/>
        </w:rPr>
        <w:t>部门预算绩效自评打分表</w:t>
      </w:r>
    </w:p>
    <w:tbl>
      <w:tblPr>
        <w:tblStyle w:val="13"/>
        <w:tblW w:w="108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04"/>
        <w:gridCol w:w="1462"/>
        <w:gridCol w:w="1665"/>
        <w:gridCol w:w="720"/>
        <w:gridCol w:w="4734"/>
        <w:gridCol w:w="756"/>
        <w:gridCol w:w="478"/>
      </w:tblGrid>
      <w:tr w14:paraId="5FD89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48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5EB2A2">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ascii="Times New Roman" w:hAnsi="Times New Roman" w:eastAsia="黑体" w:cs="黑体"/>
                <w:i w:val="0"/>
                <w:caps w:val="0"/>
                <w:color w:val="auto"/>
                <w:sz w:val="24"/>
                <w:szCs w:val="24"/>
                <w:highlight w:val="none"/>
                <w:u w:val="none"/>
              </w:rPr>
            </w:pPr>
            <w:r>
              <w:rPr>
                <w:rFonts w:hint="eastAsia" w:ascii="Times New Roman" w:hAnsi="Times New Roman" w:eastAsia="黑体" w:cs="黑体"/>
                <w:i w:val="0"/>
                <w:caps w:val="0"/>
                <w:color w:val="auto"/>
                <w:kern w:val="0"/>
                <w:sz w:val="24"/>
                <w:szCs w:val="24"/>
                <w:highlight w:val="none"/>
                <w:u w:val="none"/>
                <w:lang w:val="en-US" w:eastAsia="zh-CN" w:bidi="ar"/>
              </w:rPr>
              <w:t>绩效评价指标指标分值</w:t>
            </w:r>
          </w:p>
        </w:tc>
        <w:tc>
          <w:tcPr>
            <w:tcW w:w="47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E31AF7">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黑体" w:cs="黑体"/>
                <w:i w:val="0"/>
                <w:caps w:val="0"/>
                <w:color w:val="auto"/>
                <w:sz w:val="24"/>
                <w:szCs w:val="24"/>
                <w:highlight w:val="none"/>
                <w:u w:val="none"/>
              </w:rPr>
            </w:pPr>
            <w:r>
              <w:rPr>
                <w:rFonts w:hint="eastAsia" w:ascii="Times New Roman" w:hAnsi="Times New Roman" w:eastAsia="黑体" w:cs="黑体"/>
                <w:i w:val="0"/>
                <w:caps w:val="0"/>
                <w:color w:val="auto"/>
                <w:kern w:val="0"/>
                <w:sz w:val="24"/>
                <w:szCs w:val="24"/>
                <w:highlight w:val="none"/>
                <w:u w:val="none"/>
                <w:lang w:val="en-US" w:eastAsia="zh-CN" w:bidi="ar"/>
              </w:rPr>
              <w:t>指标解释</w:t>
            </w:r>
          </w:p>
        </w:tc>
        <w:tc>
          <w:tcPr>
            <w:tcW w:w="756" w:type="dxa"/>
            <w:vMerge w:val="restart"/>
            <w:tcBorders>
              <w:top w:val="single" w:color="000000" w:sz="4" w:space="0"/>
              <w:left w:val="single" w:color="000000" w:sz="4" w:space="0"/>
              <w:right w:val="single" w:color="000000" w:sz="4" w:space="0"/>
            </w:tcBorders>
            <w:shd w:val="clear" w:color="auto" w:fill="auto"/>
            <w:vAlign w:val="center"/>
          </w:tcPr>
          <w:p w14:paraId="45D9CFC2">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黑体" w:cs="黑体"/>
                <w:i w:val="0"/>
                <w:caps w:val="0"/>
                <w:color w:val="auto"/>
                <w:kern w:val="0"/>
                <w:sz w:val="24"/>
                <w:szCs w:val="24"/>
                <w:highlight w:val="none"/>
                <w:u w:val="none"/>
                <w:lang w:val="en-US" w:eastAsia="zh-CN" w:bidi="ar"/>
              </w:rPr>
            </w:pPr>
            <w:r>
              <w:rPr>
                <w:rFonts w:hint="eastAsia" w:ascii="Times New Roman" w:hAnsi="Times New Roman" w:eastAsia="黑体" w:cs="黑体"/>
                <w:i w:val="0"/>
                <w:caps w:val="0"/>
                <w:color w:val="auto"/>
                <w:kern w:val="0"/>
                <w:sz w:val="24"/>
                <w:szCs w:val="24"/>
                <w:highlight w:val="none"/>
                <w:u w:val="none"/>
                <w:lang w:val="en-US" w:eastAsia="zh-CN" w:bidi="ar"/>
              </w:rPr>
              <w:t>自评得分</w:t>
            </w:r>
          </w:p>
        </w:tc>
        <w:tc>
          <w:tcPr>
            <w:tcW w:w="478" w:type="dxa"/>
            <w:vMerge w:val="restart"/>
            <w:tcBorders>
              <w:top w:val="single" w:color="000000" w:sz="4" w:space="0"/>
              <w:left w:val="single" w:color="000000" w:sz="4" w:space="0"/>
              <w:right w:val="single" w:color="000000" w:sz="4" w:space="0"/>
            </w:tcBorders>
            <w:shd w:val="clear" w:color="auto" w:fill="auto"/>
            <w:vAlign w:val="center"/>
          </w:tcPr>
          <w:p w14:paraId="5B9E5D63">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黑体" w:cs="黑体"/>
                <w:i w:val="0"/>
                <w:caps w:val="0"/>
                <w:color w:val="auto"/>
                <w:kern w:val="0"/>
                <w:sz w:val="24"/>
                <w:szCs w:val="24"/>
                <w:highlight w:val="none"/>
                <w:u w:val="none"/>
                <w:lang w:val="en-US" w:eastAsia="zh-CN" w:bidi="ar"/>
              </w:rPr>
            </w:pPr>
            <w:r>
              <w:rPr>
                <w:rFonts w:hint="eastAsia" w:ascii="Times New Roman" w:hAnsi="Times New Roman" w:eastAsia="黑体" w:cs="黑体"/>
                <w:i w:val="0"/>
                <w:caps w:val="0"/>
                <w:color w:val="auto"/>
                <w:kern w:val="0"/>
                <w:sz w:val="24"/>
                <w:szCs w:val="24"/>
                <w:highlight w:val="none"/>
                <w:u w:val="none"/>
                <w:lang w:val="en-US" w:eastAsia="zh-CN" w:bidi="ar"/>
              </w:rPr>
              <w:t>备注</w:t>
            </w:r>
          </w:p>
        </w:tc>
      </w:tr>
      <w:tr w14:paraId="2419B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tcBorders>
              <w:top w:val="single" w:color="000000" w:sz="4" w:space="0"/>
              <w:left w:val="single" w:color="000000" w:sz="4" w:space="0"/>
              <w:bottom w:val="single" w:color="000000" w:sz="4" w:space="0"/>
              <w:right w:val="nil"/>
            </w:tcBorders>
            <w:shd w:val="clear" w:color="auto" w:fill="auto"/>
            <w:vAlign w:val="center"/>
          </w:tcPr>
          <w:p w14:paraId="4A84FAB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黑体" w:cs="黑体"/>
                <w:i w:val="0"/>
                <w:caps w:val="0"/>
                <w:color w:val="auto"/>
                <w:sz w:val="24"/>
                <w:szCs w:val="24"/>
                <w:highlight w:val="none"/>
                <w:u w:val="none"/>
              </w:rPr>
            </w:pPr>
            <w:r>
              <w:rPr>
                <w:rFonts w:hint="eastAsia" w:ascii="Times New Roman" w:hAnsi="Times New Roman" w:eastAsia="黑体" w:cs="黑体"/>
                <w:i w:val="0"/>
                <w:caps w:val="0"/>
                <w:color w:val="auto"/>
                <w:kern w:val="0"/>
                <w:sz w:val="24"/>
                <w:szCs w:val="24"/>
                <w:highlight w:val="none"/>
                <w:u w:val="none"/>
                <w:lang w:val="en-US" w:eastAsia="zh-CN" w:bidi="ar"/>
              </w:rPr>
              <w:t>一级指标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A74A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黑体" w:cs="黑体"/>
                <w:i w:val="0"/>
                <w:caps w:val="0"/>
                <w:color w:val="auto"/>
                <w:sz w:val="24"/>
                <w:szCs w:val="24"/>
                <w:highlight w:val="none"/>
                <w:u w:val="none"/>
              </w:rPr>
            </w:pPr>
            <w:r>
              <w:rPr>
                <w:rFonts w:hint="eastAsia" w:ascii="Times New Roman" w:hAnsi="Times New Roman" w:eastAsia="黑体" w:cs="黑体"/>
                <w:i w:val="0"/>
                <w:caps w:val="0"/>
                <w:color w:val="auto"/>
                <w:kern w:val="0"/>
                <w:sz w:val="24"/>
                <w:szCs w:val="24"/>
                <w:highlight w:val="none"/>
                <w:u w:val="none"/>
                <w:lang w:val="en-US" w:eastAsia="zh-CN" w:bidi="ar"/>
              </w:rPr>
              <w:t>二级指标</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4B7C2">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黑体" w:cs="黑体"/>
                <w:i w:val="0"/>
                <w:caps w:val="0"/>
                <w:color w:val="auto"/>
                <w:sz w:val="24"/>
                <w:szCs w:val="24"/>
                <w:highlight w:val="none"/>
                <w:u w:val="none"/>
              </w:rPr>
            </w:pPr>
            <w:r>
              <w:rPr>
                <w:rFonts w:hint="eastAsia" w:ascii="Times New Roman" w:hAnsi="Times New Roman" w:eastAsia="黑体" w:cs="黑体"/>
                <w:i w:val="0"/>
                <w:caps w:val="0"/>
                <w:color w:val="auto"/>
                <w:kern w:val="0"/>
                <w:sz w:val="24"/>
                <w:szCs w:val="24"/>
                <w:highlight w:val="none"/>
                <w:u w:val="none"/>
                <w:lang w:val="en-US" w:eastAsia="zh-CN" w:bidi="ar"/>
              </w:rPr>
              <w:t>三级指标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3ABB3">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黑体" w:cs="黑体"/>
                <w:i w:val="0"/>
                <w:caps w:val="0"/>
                <w:color w:val="auto"/>
                <w:sz w:val="24"/>
                <w:szCs w:val="24"/>
                <w:highlight w:val="none"/>
                <w:u w:val="none"/>
              </w:rPr>
            </w:pPr>
            <w:r>
              <w:rPr>
                <w:rFonts w:hint="eastAsia" w:ascii="Times New Roman" w:hAnsi="Times New Roman" w:eastAsia="黑体" w:cs="黑体"/>
                <w:i w:val="0"/>
                <w:caps w:val="0"/>
                <w:color w:val="auto"/>
                <w:kern w:val="0"/>
                <w:sz w:val="24"/>
                <w:szCs w:val="24"/>
                <w:highlight w:val="none"/>
                <w:u w:val="none"/>
                <w:lang w:val="en-US" w:eastAsia="zh-CN" w:bidi="ar"/>
              </w:rPr>
              <w:t>指标</w:t>
            </w:r>
            <w:r>
              <w:rPr>
                <w:rFonts w:hint="eastAsia" w:ascii="Times New Roman" w:hAnsi="Times New Roman" w:eastAsia="黑体" w:cs="黑体"/>
                <w:i w:val="0"/>
                <w:caps w:val="0"/>
                <w:color w:val="auto"/>
                <w:kern w:val="0"/>
                <w:sz w:val="24"/>
                <w:szCs w:val="24"/>
                <w:highlight w:val="none"/>
                <w:u w:val="none"/>
                <w:lang w:val="en-US" w:eastAsia="zh-CN" w:bidi="ar"/>
              </w:rPr>
              <w:br w:type="textWrapping"/>
            </w:r>
            <w:r>
              <w:rPr>
                <w:rFonts w:hint="eastAsia" w:ascii="Times New Roman" w:hAnsi="Times New Roman" w:eastAsia="黑体" w:cs="黑体"/>
                <w:i w:val="0"/>
                <w:caps w:val="0"/>
                <w:color w:val="auto"/>
                <w:kern w:val="0"/>
                <w:sz w:val="24"/>
                <w:szCs w:val="24"/>
                <w:highlight w:val="none"/>
                <w:u w:val="none"/>
                <w:lang w:val="en-US" w:eastAsia="zh-CN" w:bidi="ar"/>
              </w:rPr>
              <w:t>分值</w:t>
            </w:r>
          </w:p>
        </w:tc>
        <w:tc>
          <w:tcPr>
            <w:tcW w:w="47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4680C">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黑体" w:cs="黑体"/>
                <w:i w:val="0"/>
                <w:caps w:val="0"/>
                <w:color w:val="auto"/>
                <w:sz w:val="24"/>
                <w:szCs w:val="24"/>
                <w:highlight w:val="none"/>
                <w:u w:val="none"/>
              </w:rPr>
            </w:pPr>
          </w:p>
        </w:tc>
        <w:tc>
          <w:tcPr>
            <w:tcW w:w="756" w:type="dxa"/>
            <w:vMerge w:val="continue"/>
            <w:tcBorders>
              <w:left w:val="single" w:color="000000" w:sz="4" w:space="0"/>
              <w:bottom w:val="single" w:color="000000" w:sz="4" w:space="0"/>
              <w:right w:val="single" w:color="000000" w:sz="4" w:space="0"/>
            </w:tcBorders>
            <w:shd w:val="clear" w:color="auto" w:fill="auto"/>
            <w:vAlign w:val="center"/>
          </w:tcPr>
          <w:p w14:paraId="7D68DCB4">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黑体" w:cs="黑体"/>
                <w:i w:val="0"/>
                <w:caps w:val="0"/>
                <w:color w:val="auto"/>
                <w:sz w:val="24"/>
                <w:szCs w:val="24"/>
                <w:highlight w:val="none"/>
                <w:u w:val="none"/>
              </w:rPr>
            </w:pPr>
          </w:p>
        </w:tc>
        <w:tc>
          <w:tcPr>
            <w:tcW w:w="478" w:type="dxa"/>
            <w:vMerge w:val="continue"/>
            <w:tcBorders>
              <w:left w:val="single" w:color="000000" w:sz="4" w:space="0"/>
              <w:bottom w:val="single" w:color="000000" w:sz="4" w:space="0"/>
              <w:right w:val="single" w:color="000000" w:sz="4" w:space="0"/>
            </w:tcBorders>
            <w:shd w:val="clear" w:color="auto" w:fill="auto"/>
            <w:vAlign w:val="center"/>
          </w:tcPr>
          <w:p w14:paraId="0E1970E9">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黑体" w:cs="黑体"/>
                <w:i w:val="0"/>
                <w:caps w:val="0"/>
                <w:color w:val="auto"/>
                <w:sz w:val="24"/>
                <w:szCs w:val="24"/>
                <w:highlight w:val="none"/>
                <w:u w:val="none"/>
              </w:rPr>
            </w:pPr>
          </w:p>
        </w:tc>
      </w:tr>
      <w:tr w14:paraId="475AF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13FDC9">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总体绩效</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（65分）</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F7374">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履职效能</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（15分）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D43B6">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履职效果</w:t>
            </w:r>
          </w:p>
        </w:tc>
        <w:tc>
          <w:tcPr>
            <w:tcW w:w="720" w:type="dxa"/>
            <w:tcBorders>
              <w:top w:val="nil"/>
              <w:left w:val="single" w:color="000000" w:sz="4" w:space="0"/>
              <w:bottom w:val="single" w:color="000000" w:sz="4" w:space="0"/>
              <w:right w:val="single" w:color="000000" w:sz="4" w:space="0"/>
            </w:tcBorders>
            <w:shd w:val="clear" w:color="auto" w:fill="auto"/>
            <w:vAlign w:val="center"/>
          </w:tcPr>
          <w:p w14:paraId="2D2E18AF">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15</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F43D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部门整体绩效目标中选定3-5个核心职能目标，反映该项职能目标完成效果情况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F48D7">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15</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6E689">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57D99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BE0731">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82859D">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预算管理</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（25分）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DD00A">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预算编制质量</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1C67B">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8</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E6C9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部门是否严格按要求编制年初部门预算，年初预算编制的科学性和准确性</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6B662">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7.69</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EC4A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52446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4214C4">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B8CAA">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7368A">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单位收入统筹</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598D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69BCA">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部门统筹自有收入程度</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A1AB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00583">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470AE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55D241">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1A0DDA">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0D333">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支出执行进度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58C5D">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6</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AA92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部门1至6月、1至10月预算执行情况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72DE0">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5.44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8E281">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2542B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ACFFB">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72AE7C">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C1492">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预算年终结余</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7F7DB">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2</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816A4">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部门整体年终预算结余情况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56765">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2</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2D4E6">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42246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E0E6A">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CC460B">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C87DD">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严控一般性支出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A11D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5</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DD9FB">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部门严控“三公”经费、会议、培训、差旅、办节办展、办公设备购置、信息网络及软件购置更新、课题经费等8项一般性支出情况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F6E9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eastAsia="宋体" w:cs="宋体"/>
                <w:i w:val="0"/>
                <w:caps w:val="0"/>
                <w:color w:val="auto"/>
                <w:kern w:val="0"/>
                <w:sz w:val="24"/>
                <w:szCs w:val="24"/>
                <w:highlight w:val="none"/>
                <w:u w:val="none"/>
                <w:lang w:val="en-US" w:eastAsia="zh-CN" w:bidi="ar"/>
              </w:rPr>
              <w:t>3</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FB0B4">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48F6A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88CCC1">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ACA6E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财务管理</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（10分）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E5EA6">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财务管理制度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8276">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E79CD">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部门财务管理制度建立情况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A1C2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2C91D">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53D27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D31BE">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AD02C9">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28816">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财务岗位设置</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62A2A">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2</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D4F96">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部门财务岗位设置是否符合相关财务管理制度要求</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A285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2</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CE61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03E12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58A8AF">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4EE76B">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7CDCD">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资金使用规范</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D815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8D6A2">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部门资金使用是否符合相关财务管理制度规定</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AA25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F9609">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28B55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206ADD">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8A7552">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资产管理</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（9分）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A9E43">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人均资产变化率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54D3A">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3</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FA742">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部门人均资产变化情况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C2039">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1.5</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C389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1908A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4017CE">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6CB0D2">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799B1">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资产利用率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1F64F">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3</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0B8DD">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部门资产超最低使用年限情况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D3676">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3</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DB2DA">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156EA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0EB9FB">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总体绩效</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（65分）</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1FE6">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资产管理</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（9分）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6AEE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资产盘活率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D2E1">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3</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516D9">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部门闲置一年以上的资产盘活情况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8735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3</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ABE17">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6DF69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65FD03">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2BBFF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采购管理</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（6分）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D5414">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支持中小企业发展</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7E6E3">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3</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4A0E5">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部门是否严格执行政府采购促进中小企业发展相关管理办法</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03409">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eastAsia="宋体" w:cs="宋体"/>
                <w:i w:val="0"/>
                <w:caps w:val="0"/>
                <w:color w:val="auto"/>
                <w:kern w:val="0"/>
                <w:sz w:val="24"/>
                <w:szCs w:val="24"/>
                <w:highlight w:val="none"/>
                <w:u w:val="none"/>
                <w:lang w:val="en-US" w:eastAsia="zh-CN" w:bidi="ar"/>
              </w:rPr>
              <w:t>2</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4030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1E59A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4D12E">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BE7C60">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2224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采购执行率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9345">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3</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18181">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部门政府采购项目资金支付比例情况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0B5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3</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6659D">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4F6D1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EA667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项目绩效</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（35分）</w:t>
            </w:r>
          </w:p>
        </w:tc>
        <w:tc>
          <w:tcPr>
            <w:tcW w:w="1462" w:type="dxa"/>
            <w:vMerge w:val="restart"/>
            <w:tcBorders>
              <w:top w:val="single" w:color="000000" w:sz="4" w:space="0"/>
              <w:left w:val="single" w:color="000000" w:sz="4" w:space="0"/>
              <w:bottom w:val="nil"/>
              <w:right w:val="single" w:color="000000" w:sz="4" w:space="0"/>
            </w:tcBorders>
            <w:shd w:val="clear" w:color="auto" w:fill="auto"/>
            <w:vAlign w:val="center"/>
          </w:tcPr>
          <w:p w14:paraId="1EBB917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项目决策</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（12分）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BBBF">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决策程序</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F736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19A00">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部门预算项目设立是否按规定履行评估论证、申报程序</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0DC01">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414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30B36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A13D4D">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nil"/>
              <w:right w:val="single" w:color="000000" w:sz="4" w:space="0"/>
            </w:tcBorders>
            <w:shd w:val="clear" w:color="auto" w:fill="auto"/>
            <w:vAlign w:val="center"/>
          </w:tcPr>
          <w:p w14:paraId="48CD40EC">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C147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目标设置</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90B67">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95F7A">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部门预算项目绩效目标与计划期内的任务量、预算安排的资金量匹配情况，绩效目标设置是否科学合理、规范完整、量化细化、预算匹配</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ABEBF">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eastAsia="宋体" w:cs="宋体"/>
                <w:i w:val="0"/>
                <w:caps w:val="0"/>
                <w:color w:val="auto"/>
                <w:kern w:val="0"/>
                <w:sz w:val="24"/>
                <w:szCs w:val="24"/>
                <w:highlight w:val="none"/>
                <w:u w:val="none"/>
                <w:lang w:val="en-US" w:eastAsia="zh-CN" w:bidi="ar"/>
              </w:rPr>
              <w:t>2</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8339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77015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C926AC">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nil"/>
              <w:right w:val="single" w:color="000000" w:sz="4" w:space="0"/>
            </w:tcBorders>
            <w:shd w:val="clear" w:color="auto" w:fill="auto"/>
            <w:vAlign w:val="center"/>
          </w:tcPr>
          <w:p w14:paraId="5C5544D2">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AC92B">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项目入库</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62A6F">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46EA0">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部门预算项目是否在规定时间完成项目入库</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3C85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20FCB">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16024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5F875B">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restart"/>
            <w:tcBorders>
              <w:top w:val="single" w:color="000000" w:sz="4" w:space="0"/>
              <w:left w:val="single" w:color="000000" w:sz="4" w:space="0"/>
              <w:bottom w:val="nil"/>
              <w:right w:val="single" w:color="000000" w:sz="4" w:space="0"/>
            </w:tcBorders>
            <w:shd w:val="clear" w:color="auto" w:fill="auto"/>
            <w:vAlign w:val="center"/>
          </w:tcPr>
          <w:p w14:paraId="14E6D44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项目执行</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（12分）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18857">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执行同向</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3F3C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2C2D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部门预算项目实际列支内容是否与绩效目标设置方向相符</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DE02D">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779A3">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52724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BA44E5">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nil"/>
              <w:right w:val="single" w:color="000000" w:sz="4" w:space="0"/>
            </w:tcBorders>
            <w:shd w:val="clear" w:color="auto" w:fill="auto"/>
            <w:vAlign w:val="center"/>
          </w:tcPr>
          <w:p w14:paraId="29F9733E">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nil"/>
              <w:right w:val="single" w:color="000000" w:sz="4" w:space="0"/>
            </w:tcBorders>
            <w:shd w:val="clear" w:color="auto" w:fill="auto"/>
            <w:vAlign w:val="center"/>
          </w:tcPr>
          <w:p w14:paraId="3490AC07">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项目调整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73803">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E5022">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部门预算项目是否采取对应调整措施</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9FA1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8931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297D5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67D1AD">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nil"/>
              <w:right w:val="single" w:color="000000" w:sz="4" w:space="0"/>
            </w:tcBorders>
            <w:shd w:val="clear" w:color="auto" w:fill="auto"/>
            <w:vAlign w:val="center"/>
          </w:tcPr>
          <w:p w14:paraId="34219BBC">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2E87D">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执行结果</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47F91">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96E4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部门预算项目预算执行情况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8483A">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ascii="Times New Roman" w:hAnsi="Times New Roman" w:eastAsia="宋体" w:cs="宋体"/>
                <w:i w:val="0"/>
                <w:caps w:val="0"/>
                <w:color w:val="auto"/>
                <w:kern w:val="0"/>
                <w:sz w:val="24"/>
                <w:szCs w:val="24"/>
                <w:highlight w:val="none"/>
                <w:u w:val="none"/>
                <w:lang w:val="en-US" w:eastAsia="zh-CN" w:bidi="ar"/>
              </w:rPr>
              <w:t>3.15</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45634">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294F7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C895AC">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325297">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目标实现</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（11分）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2FE16">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目标完成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85F8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685A5">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部门预算项目绩效目标数量指标完成情况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8DF0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eastAsia="宋体" w:cs="宋体"/>
                <w:i w:val="0"/>
                <w:caps w:val="0"/>
                <w:color w:val="auto"/>
                <w:kern w:val="0"/>
                <w:sz w:val="24"/>
                <w:szCs w:val="24"/>
                <w:highlight w:val="none"/>
                <w:u w:val="none"/>
                <w:lang w:val="en-US" w:eastAsia="zh-CN" w:bidi="ar"/>
              </w:rPr>
              <w:t>3.5</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07EFA">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061C7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2D7E86">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1EB6CD">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4E00">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目标偏离</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4381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6DC28">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部门预算项目绩效目标数量指标实现程度与预期目标的偏离情况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F8FF7">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eastAsia="宋体" w:cs="宋体"/>
                <w:i w:val="0"/>
                <w:caps w:val="0"/>
                <w:color w:val="auto"/>
                <w:kern w:val="0"/>
                <w:sz w:val="24"/>
                <w:szCs w:val="24"/>
                <w:highlight w:val="none"/>
                <w:u w:val="none"/>
                <w:lang w:val="en-US" w:eastAsia="zh-CN" w:bidi="ar"/>
              </w:rPr>
              <w:t>3.5</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6C00">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33F3B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80B59A">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91649E">
            <w:pPr>
              <w:keepNext w:val="0"/>
              <w:keepLines w:val="0"/>
              <w:pageBreakBefore w:val="0"/>
              <w:widowControl/>
              <w:kinsoku/>
              <w:wordWrap/>
              <w:overflowPunct/>
              <w:topLinePunct w:val="0"/>
              <w:autoSpaceDE/>
              <w:autoSpaceDN/>
              <w:bidi w:val="0"/>
              <w:adjustRightInd/>
              <w:snapToGrid/>
              <w:spacing w:line="480" w:lineRule="exact"/>
              <w:ind w:firstLine="0" w:firstLineChars="0"/>
              <w:jc w:val="center"/>
              <w:rPr>
                <w:rFonts w:hint="eastAsia" w:ascii="Times New Roman" w:hAnsi="Times New Roman" w:eastAsia="宋体" w:cs="宋体"/>
                <w:b/>
                <w:i w:val="0"/>
                <w:caps w:val="0"/>
                <w:color w:val="auto"/>
                <w:sz w:val="24"/>
                <w:szCs w:val="24"/>
                <w:highlight w:val="none"/>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6572B">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实现效果</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AE97E">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3</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A4925">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部门预算项目绩效目标效益指标实施效果</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095EB">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default" w:ascii="Times New Roman" w:hAnsi="Times New Roman" w:eastAsia="宋体" w:cs="宋体"/>
                <w:i w:val="0"/>
                <w:caps w:val="0"/>
                <w:color w:val="auto"/>
                <w:kern w:val="0"/>
                <w:sz w:val="24"/>
                <w:szCs w:val="24"/>
                <w:highlight w:val="none"/>
                <w:u w:val="none"/>
                <w:lang w:val="en-US" w:eastAsia="zh-CN" w:bidi="ar"/>
              </w:rPr>
            </w:pPr>
            <w:r>
              <w:rPr>
                <w:rFonts w:hint="eastAsia" w:eastAsia="宋体" w:cs="宋体"/>
                <w:i w:val="0"/>
                <w:caps w:val="0"/>
                <w:color w:val="auto"/>
                <w:kern w:val="0"/>
                <w:sz w:val="24"/>
                <w:szCs w:val="24"/>
                <w:highlight w:val="none"/>
                <w:u w:val="none"/>
                <w:lang w:val="en-US" w:eastAsia="zh-CN" w:bidi="ar"/>
              </w:rPr>
              <w:t>2.5</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5C657">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r w14:paraId="7DF50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A552B">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b/>
                <w:i w:val="0"/>
                <w:caps w:val="0"/>
                <w:color w:val="auto"/>
                <w:sz w:val="24"/>
                <w:szCs w:val="24"/>
                <w:highlight w:val="none"/>
                <w:u w:val="none"/>
              </w:rPr>
            </w:pPr>
            <w:r>
              <w:rPr>
                <w:rFonts w:hint="eastAsia" w:ascii="Times New Roman" w:hAnsi="Times New Roman" w:eastAsia="宋体" w:cs="宋体"/>
                <w:b/>
                <w:i w:val="0"/>
                <w:caps w:val="0"/>
                <w:color w:val="auto"/>
                <w:kern w:val="0"/>
                <w:sz w:val="24"/>
                <w:szCs w:val="24"/>
                <w:highlight w:val="none"/>
                <w:u w:val="none"/>
                <w:lang w:val="en-US" w:eastAsia="zh-CN" w:bidi="ar"/>
              </w:rPr>
              <w:t>扣分项</w:t>
            </w:r>
            <w:r>
              <w:rPr>
                <w:rFonts w:hint="eastAsia" w:ascii="Times New Roman" w:hAnsi="Times New Roman" w:eastAsia="宋体" w:cs="宋体"/>
                <w:b/>
                <w:i w:val="0"/>
                <w:caps w:val="0"/>
                <w:color w:val="auto"/>
                <w:kern w:val="0"/>
                <w:sz w:val="24"/>
                <w:szCs w:val="24"/>
                <w:highlight w:val="none"/>
                <w:u w:val="none"/>
                <w:lang w:val="en-US" w:eastAsia="zh-CN" w:bidi="ar"/>
              </w:rPr>
              <w:br w:type="textWrapping"/>
            </w:r>
            <w:r>
              <w:rPr>
                <w:rFonts w:hint="eastAsia" w:ascii="Times New Roman" w:hAnsi="Times New Roman" w:eastAsia="宋体" w:cs="宋体"/>
                <w:b/>
                <w:i w:val="0"/>
                <w:caps w:val="0"/>
                <w:color w:val="auto"/>
                <w:kern w:val="0"/>
                <w:sz w:val="24"/>
                <w:szCs w:val="24"/>
                <w:highlight w:val="none"/>
                <w:u w:val="none"/>
                <w:lang w:val="en-US" w:eastAsia="zh-CN" w:bidi="ar"/>
              </w:rPr>
              <w:t>（10分）</w:t>
            </w:r>
          </w:p>
        </w:tc>
        <w:tc>
          <w:tcPr>
            <w:tcW w:w="31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EACFCD">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被评价部门配合度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241FC">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ECBD5">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sz w:val="24"/>
                <w:szCs w:val="24"/>
                <w:highlight w:val="none"/>
                <w:u w:val="none"/>
              </w:rPr>
            </w:pPr>
            <w:r>
              <w:rPr>
                <w:rFonts w:hint="eastAsia" w:ascii="Times New Roman" w:hAnsi="Times New Roman" w:eastAsia="宋体" w:cs="宋体"/>
                <w:i w:val="0"/>
                <w:caps w:val="0"/>
                <w:color w:val="auto"/>
                <w:kern w:val="0"/>
                <w:sz w:val="24"/>
                <w:szCs w:val="24"/>
                <w:highlight w:val="none"/>
                <w:u w:val="none"/>
                <w:lang w:val="en-US" w:eastAsia="zh-CN" w:bidi="ar"/>
              </w:rPr>
              <w:t>被评价对象工作配合情况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B7484">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CE193">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center"/>
              <w:rPr>
                <w:rFonts w:hint="eastAsia" w:ascii="Times New Roman" w:hAnsi="Times New Roman" w:eastAsia="宋体" w:cs="宋体"/>
                <w:i w:val="0"/>
                <w:caps w:val="0"/>
                <w:color w:val="auto"/>
                <w:kern w:val="0"/>
                <w:sz w:val="24"/>
                <w:szCs w:val="24"/>
                <w:highlight w:val="none"/>
                <w:u w:val="none"/>
                <w:lang w:val="en-US" w:eastAsia="zh-CN" w:bidi="ar"/>
              </w:rPr>
            </w:pPr>
          </w:p>
        </w:tc>
      </w:tr>
    </w:tbl>
    <w:p w14:paraId="3F4F0144">
      <w:pPr>
        <w:keepNext w:val="0"/>
        <w:keepLines w:val="0"/>
        <w:pageBreakBefore w:val="0"/>
        <w:kinsoku/>
        <w:wordWrap/>
        <w:overflowPunct/>
        <w:topLinePunct w:val="0"/>
        <w:autoSpaceDE/>
        <w:autoSpaceDN/>
        <w:bidi w:val="0"/>
        <w:spacing w:line="480" w:lineRule="exact"/>
        <w:jc w:val="left"/>
        <w:textAlignment w:val="auto"/>
        <w:rPr>
          <w:rFonts w:hint="default" w:ascii="Times New Roman" w:hAnsi="Times New Roman" w:eastAsia="黑体" w:cs="Times New Roman"/>
          <w:caps w:val="0"/>
          <w:color w:val="auto"/>
          <w:kern w:val="2"/>
          <w:sz w:val="32"/>
          <w:szCs w:val="24"/>
          <w:highlight w:val="none"/>
          <w:lang w:val="en-US" w:eastAsia="zh-CN" w:bidi="ar-SA"/>
        </w:rPr>
      </w:pPr>
      <w:r>
        <w:rPr>
          <w:rFonts w:hint="default" w:ascii="Times New Roman" w:hAnsi="Times New Roman" w:eastAsia="黑体" w:cs="Times New Roman"/>
          <w:caps w:val="0"/>
          <w:color w:val="auto"/>
          <w:kern w:val="2"/>
          <w:sz w:val="32"/>
          <w:szCs w:val="24"/>
          <w:highlight w:val="none"/>
          <w:lang w:val="en-US" w:eastAsia="zh-CN" w:bidi="ar-SA"/>
        </w:rPr>
        <w:t>附表</w:t>
      </w:r>
      <w:r>
        <w:rPr>
          <w:rFonts w:hint="eastAsia" w:ascii="Times New Roman" w:hAnsi="Times New Roman" w:eastAsia="黑体" w:cs="Times New Roman"/>
          <w:caps w:val="0"/>
          <w:color w:val="auto"/>
          <w:kern w:val="2"/>
          <w:sz w:val="32"/>
          <w:szCs w:val="24"/>
          <w:highlight w:val="none"/>
          <w:lang w:val="en-US" w:eastAsia="zh-CN" w:bidi="ar-SA"/>
        </w:rPr>
        <w:t>2</w:t>
      </w:r>
    </w:p>
    <w:tbl>
      <w:tblPr>
        <w:tblStyle w:val="13"/>
        <w:tblW w:w="105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09"/>
        <w:gridCol w:w="1347"/>
        <w:gridCol w:w="1034"/>
        <w:gridCol w:w="1339"/>
        <w:gridCol w:w="1144"/>
        <w:gridCol w:w="1"/>
        <w:gridCol w:w="1289"/>
        <w:gridCol w:w="1058"/>
        <w:gridCol w:w="926"/>
        <w:gridCol w:w="1113"/>
      </w:tblGrid>
      <w:tr w14:paraId="037F0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2" w:hRule="exact"/>
          <w:jc w:val="center"/>
        </w:trPr>
        <w:tc>
          <w:tcPr>
            <w:tcW w:w="10560" w:type="dxa"/>
            <w:gridSpan w:val="10"/>
            <w:shd w:val="clear" w:color="auto" w:fill="auto"/>
            <w:vAlign w:val="center"/>
          </w:tcPr>
          <w:p w14:paraId="65DDB6C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黑体" w:cs="Times New Roman"/>
                <w:i w:val="0"/>
                <w:caps w:val="0"/>
                <w:color w:val="auto"/>
                <w:sz w:val="28"/>
                <w:szCs w:val="28"/>
                <w:highlight w:val="none"/>
                <w:u w:val="none"/>
              </w:rPr>
            </w:pPr>
            <w:r>
              <w:rPr>
                <w:rFonts w:hint="default" w:ascii="Times New Roman" w:hAnsi="Times New Roman" w:eastAsia="方正小标宋简体" w:cs="Times New Roman"/>
                <w:i w:val="0"/>
                <w:caps w:val="0"/>
                <w:color w:val="auto"/>
                <w:kern w:val="0"/>
                <w:sz w:val="44"/>
                <w:szCs w:val="44"/>
                <w:highlight w:val="none"/>
                <w:u w:val="none"/>
                <w:lang w:val="en-US" w:eastAsia="zh-CN" w:bidi="ar"/>
              </w:rPr>
              <w:t>部门整体绩效目标完成情况自评表</w:t>
            </w:r>
          </w:p>
        </w:tc>
      </w:tr>
      <w:tr w14:paraId="0D326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0560" w:type="dxa"/>
            <w:gridSpan w:val="10"/>
            <w:shd w:val="clear" w:color="auto" w:fill="auto"/>
            <w:vAlign w:val="center"/>
          </w:tcPr>
          <w:p w14:paraId="64DE57A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宋体" w:cs="Times New Roman"/>
                <w:i w:val="0"/>
                <w:caps w:val="0"/>
                <w:color w:val="auto"/>
                <w:sz w:val="28"/>
                <w:szCs w:val="28"/>
                <w:highlight w:val="none"/>
                <w:u w:val="none"/>
              </w:rPr>
            </w:pPr>
            <w:r>
              <w:rPr>
                <w:rFonts w:hint="default" w:ascii="Times New Roman" w:hAnsi="Times New Roman" w:eastAsia="宋体" w:cs="Times New Roman"/>
                <w:i w:val="0"/>
                <w:caps w:val="0"/>
                <w:color w:val="auto"/>
                <w:kern w:val="0"/>
                <w:sz w:val="28"/>
                <w:szCs w:val="28"/>
                <w:highlight w:val="none"/>
                <w:u w:val="none"/>
                <w:lang w:val="en-US" w:eastAsia="zh-CN" w:bidi="ar"/>
              </w:rPr>
              <w:t>（202</w:t>
            </w:r>
            <w:r>
              <w:rPr>
                <w:rFonts w:hint="eastAsia" w:ascii="Times New Roman" w:hAnsi="Times New Roman" w:eastAsia="宋体" w:cs="Times New Roman"/>
                <w:i w:val="0"/>
                <w:caps w:val="0"/>
                <w:color w:val="auto"/>
                <w:kern w:val="0"/>
                <w:sz w:val="28"/>
                <w:szCs w:val="28"/>
                <w:highlight w:val="none"/>
                <w:u w:val="none"/>
                <w:lang w:val="en-US" w:eastAsia="zh-CN" w:bidi="ar"/>
              </w:rPr>
              <w:t>4</w:t>
            </w:r>
            <w:r>
              <w:rPr>
                <w:rFonts w:hint="default" w:ascii="Times New Roman" w:hAnsi="Times New Roman" w:eastAsia="宋体" w:cs="Times New Roman"/>
                <w:i w:val="0"/>
                <w:caps w:val="0"/>
                <w:color w:val="auto"/>
                <w:kern w:val="0"/>
                <w:sz w:val="28"/>
                <w:szCs w:val="28"/>
                <w:highlight w:val="none"/>
                <w:u w:val="none"/>
                <w:lang w:val="en-US" w:eastAsia="zh-CN" w:bidi="ar"/>
              </w:rPr>
              <w:t>年度）</w:t>
            </w:r>
          </w:p>
        </w:tc>
      </w:tr>
      <w:tr w14:paraId="5139B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0560" w:type="dxa"/>
            <w:gridSpan w:val="10"/>
            <w:tcBorders>
              <w:bottom w:val="single" w:color="000000" w:sz="4" w:space="0"/>
            </w:tcBorders>
            <w:shd w:val="clear" w:color="auto" w:fill="auto"/>
            <w:vAlign w:val="center"/>
          </w:tcPr>
          <w:p w14:paraId="14091E14">
            <w:pPr>
              <w:keepNext w:val="0"/>
              <w:keepLines w:val="0"/>
              <w:pageBreakBefore w:val="0"/>
              <w:widowControl/>
              <w:suppressLineNumbers w:val="0"/>
              <w:kinsoku/>
              <w:wordWrap/>
              <w:overflowPunct/>
              <w:topLinePunct w:val="0"/>
              <w:autoSpaceDE/>
              <w:autoSpaceDN/>
              <w:bidi w:val="0"/>
              <w:adjustRightInd/>
              <w:snapToGrid/>
              <w:spacing w:line="480" w:lineRule="exact"/>
              <w:jc w:val="right"/>
              <w:textAlignment w:val="center"/>
              <w:outlineLvl w:val="9"/>
              <w:rPr>
                <w:rFonts w:hint="default" w:ascii="Times New Roman" w:hAnsi="Times New Roman" w:eastAsia="宋体" w:cs="Times New Roman"/>
                <w:i w:val="0"/>
                <w:caps w:val="0"/>
                <w:color w:val="auto"/>
                <w:sz w:val="21"/>
                <w:szCs w:val="21"/>
                <w:highlight w:val="none"/>
                <w:u w:val="none"/>
              </w:rPr>
            </w:pPr>
            <w:r>
              <w:rPr>
                <w:rFonts w:hint="default" w:ascii="Times New Roman" w:hAnsi="Times New Roman" w:eastAsia="宋体" w:cs="Times New Roman"/>
                <w:i w:val="0"/>
                <w:caps w:val="0"/>
                <w:color w:val="auto"/>
                <w:kern w:val="0"/>
                <w:sz w:val="21"/>
                <w:szCs w:val="21"/>
                <w:highlight w:val="none"/>
                <w:u w:val="none"/>
                <w:lang w:val="en-US" w:eastAsia="zh-CN" w:bidi="ar"/>
              </w:rPr>
              <w:t>单位：万元</w:t>
            </w:r>
          </w:p>
        </w:tc>
      </w:tr>
      <w:tr w14:paraId="01487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36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2B6AC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部门名称</w:t>
            </w:r>
          </w:p>
        </w:tc>
        <w:tc>
          <w:tcPr>
            <w:tcW w:w="687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97329E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sz w:val="24"/>
                <w:szCs w:val="24"/>
                <w:highlight w:val="none"/>
                <w:u w:val="none"/>
              </w:rPr>
              <w:t>达古冰川管理局部门</w:t>
            </w:r>
          </w:p>
        </w:tc>
      </w:tr>
      <w:tr w14:paraId="08B00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EC9FC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年度部门整体支出预算</w:t>
            </w:r>
          </w:p>
        </w:tc>
        <w:tc>
          <w:tcPr>
            <w:tcW w:w="2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E0F8A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资金总额</w:t>
            </w:r>
          </w:p>
        </w:tc>
        <w:tc>
          <w:tcPr>
            <w:tcW w:w="24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CF78C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财政拨款</w:t>
            </w:r>
          </w:p>
        </w:tc>
        <w:tc>
          <w:tcPr>
            <w:tcW w:w="43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A7203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其他资金</w:t>
            </w:r>
          </w:p>
        </w:tc>
      </w:tr>
      <w:tr w14:paraId="299D4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83CFEE">
            <w:pPr>
              <w:keepNext w:val="0"/>
              <w:keepLines w:val="0"/>
              <w:pageBreakBefore w:val="0"/>
              <w:widowControl/>
              <w:kinsoku/>
              <w:wordWrap/>
              <w:overflowPunct/>
              <w:topLinePunct w:val="0"/>
              <w:autoSpaceDE/>
              <w:autoSpaceDN/>
              <w:bidi w:val="0"/>
              <w:adjustRightInd/>
              <w:snapToGrid/>
              <w:spacing w:line="480" w:lineRule="exact"/>
              <w:jc w:val="center"/>
              <w:outlineLvl w:val="9"/>
              <w:rPr>
                <w:rFonts w:hint="default" w:ascii="Times New Roman" w:hAnsi="Times New Roman" w:eastAsia="宋体" w:cs="Times New Roman"/>
                <w:i w:val="0"/>
                <w:caps w:val="0"/>
                <w:color w:val="auto"/>
                <w:sz w:val="24"/>
                <w:szCs w:val="24"/>
                <w:highlight w:val="none"/>
                <w:u w:val="none"/>
              </w:rPr>
            </w:pPr>
          </w:p>
        </w:tc>
        <w:tc>
          <w:tcPr>
            <w:tcW w:w="2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54E4B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eastAsia" w:ascii="Times New Roman" w:hAnsi="Times New Roman" w:eastAsia="宋体" w:cs="Times New Roman"/>
                <w:i w:val="0"/>
                <w:caps w:val="0"/>
                <w:color w:val="auto"/>
                <w:kern w:val="0"/>
                <w:sz w:val="24"/>
                <w:szCs w:val="24"/>
                <w:highlight w:val="none"/>
                <w:u w:val="none"/>
                <w:lang w:val="en-US" w:eastAsia="zh-CN" w:bidi="ar"/>
              </w:rPr>
              <w:t>3,750.70</w:t>
            </w:r>
          </w:p>
        </w:tc>
        <w:tc>
          <w:tcPr>
            <w:tcW w:w="24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5C39F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eastAsia" w:ascii="Times New Roman" w:hAnsi="Times New Roman" w:eastAsia="宋体" w:cs="Times New Roman"/>
                <w:i w:val="0"/>
                <w:caps w:val="0"/>
                <w:color w:val="auto"/>
                <w:kern w:val="0"/>
                <w:sz w:val="24"/>
                <w:szCs w:val="24"/>
                <w:highlight w:val="none"/>
                <w:u w:val="none"/>
                <w:lang w:val="en-US" w:eastAsia="zh-CN" w:bidi="ar"/>
              </w:rPr>
              <w:t>3,750.70</w:t>
            </w:r>
          </w:p>
        </w:tc>
        <w:tc>
          <w:tcPr>
            <w:tcW w:w="43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F8945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eastAsia" w:ascii="Times New Roman" w:hAnsi="Times New Roman" w:eastAsia="宋体" w:cs="Times New Roman"/>
                <w:i w:val="0"/>
                <w:caps w:val="0"/>
                <w:color w:val="auto"/>
                <w:kern w:val="0"/>
                <w:sz w:val="24"/>
                <w:szCs w:val="24"/>
                <w:highlight w:val="none"/>
                <w:u w:val="none"/>
                <w:lang w:val="en-US" w:eastAsia="zh-CN" w:bidi="ar"/>
              </w:rPr>
              <w:t>0.00</w:t>
            </w:r>
          </w:p>
        </w:tc>
      </w:tr>
      <w:tr w14:paraId="5838B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CA6E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年度总体目标</w:t>
            </w:r>
          </w:p>
        </w:tc>
        <w:tc>
          <w:tcPr>
            <w:tcW w:w="925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CAF563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1、保障人员经费支出和机关正常运行，使机关正常开展工作，为全局干部职工更好的履行工作职能提供保障。</w:t>
            </w:r>
          </w:p>
          <w:p w14:paraId="5A62741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2、完善景区基础建设，生态环境保护，加强景区营销宣传，提升景区知名度和美誉度。</w:t>
            </w:r>
          </w:p>
          <w:p w14:paraId="3A5C9BB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left"/>
              <w:textAlignment w:val="center"/>
              <w:outlineLvl w:val="9"/>
              <w:rPr>
                <w:rFonts w:hint="default" w:ascii="Times New Roman" w:hAnsi="Times New Roman"/>
                <w:caps w:val="0"/>
                <w:color w:val="auto"/>
                <w:highlight w:val="none"/>
              </w:rPr>
            </w:pPr>
            <w:r>
              <w:rPr>
                <w:rFonts w:hint="eastAsia" w:ascii="Times New Roman" w:hAnsi="Times New Roman" w:eastAsia="宋体" w:cs="Times New Roman"/>
                <w:i w:val="0"/>
                <w:caps w:val="0"/>
                <w:color w:val="auto"/>
                <w:kern w:val="0"/>
                <w:sz w:val="24"/>
                <w:szCs w:val="24"/>
                <w:highlight w:val="none"/>
                <w:u w:val="none"/>
                <w:lang w:val="en-US" w:eastAsia="zh-CN" w:bidi="ar"/>
              </w:rPr>
              <w:t>3、</w:t>
            </w:r>
            <w:r>
              <w:rPr>
                <w:rFonts w:hint="default" w:ascii="Times New Roman" w:hAnsi="Times New Roman" w:eastAsia="宋体" w:cs="Times New Roman"/>
                <w:i w:val="0"/>
                <w:caps w:val="0"/>
                <w:color w:val="auto"/>
                <w:kern w:val="0"/>
                <w:sz w:val="24"/>
                <w:szCs w:val="24"/>
                <w:highlight w:val="none"/>
                <w:u w:val="none"/>
                <w:lang w:val="en-US" w:eastAsia="zh-CN" w:bidi="ar"/>
              </w:rPr>
              <w:t>加强对景区森林、野生动植物资源的保护。                                                                                                                            4、全面提升景区管理和服务质量。</w:t>
            </w:r>
          </w:p>
        </w:tc>
      </w:tr>
      <w:tr w14:paraId="28944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0" w:hRule="atLeast"/>
          <w:jc w:val="center"/>
        </w:trPr>
        <w:tc>
          <w:tcPr>
            <w:tcW w:w="1309" w:type="dxa"/>
            <w:vMerge w:val="restart"/>
            <w:tcBorders>
              <w:top w:val="single" w:color="000000" w:sz="4" w:space="0"/>
              <w:left w:val="single" w:color="000000" w:sz="4" w:space="0"/>
              <w:right w:val="single" w:color="000000" w:sz="4" w:space="0"/>
            </w:tcBorders>
            <w:shd w:val="clear" w:color="auto" w:fill="auto"/>
            <w:vAlign w:val="center"/>
          </w:tcPr>
          <w:p w14:paraId="40AA6EC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年度主要</w:t>
            </w:r>
          </w:p>
          <w:p w14:paraId="1D003DC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任务</w:t>
            </w:r>
          </w:p>
        </w:tc>
        <w:tc>
          <w:tcPr>
            <w:tcW w:w="2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DE77E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任务名称</w:t>
            </w:r>
          </w:p>
        </w:tc>
        <w:tc>
          <w:tcPr>
            <w:tcW w:w="687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112BDC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主要内容</w:t>
            </w:r>
          </w:p>
        </w:tc>
      </w:tr>
      <w:tr w14:paraId="7F166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550DEA5B">
            <w:pPr>
              <w:keepNext w:val="0"/>
              <w:keepLines w:val="0"/>
              <w:pageBreakBefore w:val="0"/>
              <w:widowControl/>
              <w:kinsoku/>
              <w:wordWrap/>
              <w:overflowPunct/>
              <w:topLinePunct w:val="0"/>
              <w:autoSpaceDE/>
              <w:autoSpaceDN/>
              <w:bidi w:val="0"/>
              <w:adjustRightInd/>
              <w:snapToGrid/>
              <w:spacing w:line="480" w:lineRule="exact"/>
              <w:jc w:val="center"/>
              <w:outlineLvl w:val="9"/>
              <w:rPr>
                <w:rFonts w:hint="default" w:ascii="Times New Roman" w:hAnsi="Times New Roman" w:eastAsia="宋体" w:cs="Times New Roman"/>
                <w:i w:val="0"/>
                <w:caps w:val="0"/>
                <w:color w:val="auto"/>
                <w:sz w:val="24"/>
                <w:szCs w:val="24"/>
                <w:highlight w:val="none"/>
                <w:u w:val="none"/>
              </w:rPr>
            </w:pPr>
          </w:p>
        </w:tc>
        <w:tc>
          <w:tcPr>
            <w:tcW w:w="2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39111A">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任务1：积极争取，在旅游环境打造中谋长远、不懈怠。</w:t>
            </w:r>
          </w:p>
        </w:tc>
        <w:tc>
          <w:tcPr>
            <w:tcW w:w="687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5383D5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以州委“一州两区三家园”发展战略为指导，加快推进达古冰川景区智慧旅游项目，积极对接州发改委落实项目资金，力争年内完工。全力配合开展S449线达古冰川段改扩建项目，力争早日完工。认真筹备国家地质公园验收工作。有序推进全国生态旅游示范区和国家５A级景区创建工作，推动景区全面转型升级发展。</w:t>
            </w:r>
          </w:p>
        </w:tc>
      </w:tr>
      <w:tr w14:paraId="6BCFB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38F2BB80">
            <w:pPr>
              <w:keepNext w:val="0"/>
              <w:keepLines w:val="0"/>
              <w:pageBreakBefore w:val="0"/>
              <w:widowControl/>
              <w:kinsoku/>
              <w:wordWrap/>
              <w:overflowPunct/>
              <w:topLinePunct w:val="0"/>
              <w:autoSpaceDE/>
              <w:autoSpaceDN/>
              <w:bidi w:val="0"/>
              <w:adjustRightInd/>
              <w:snapToGrid/>
              <w:spacing w:line="480" w:lineRule="exact"/>
              <w:jc w:val="center"/>
              <w:outlineLvl w:val="9"/>
              <w:rPr>
                <w:rFonts w:hint="default" w:ascii="Times New Roman" w:hAnsi="Times New Roman" w:eastAsia="宋体" w:cs="Times New Roman"/>
                <w:i w:val="0"/>
                <w:caps w:val="0"/>
                <w:color w:val="auto"/>
                <w:sz w:val="24"/>
                <w:szCs w:val="24"/>
                <w:highlight w:val="none"/>
                <w:u w:val="none"/>
              </w:rPr>
            </w:pPr>
          </w:p>
        </w:tc>
        <w:tc>
          <w:tcPr>
            <w:tcW w:w="2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EA0B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任务2：多措并举，在生态文明建设中出硬招、守底线。</w:t>
            </w:r>
          </w:p>
        </w:tc>
        <w:tc>
          <w:tcPr>
            <w:tcW w:w="687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9E6515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认真践行生态文明和绿色发展理念，扎实开展森林草原防灭火、野生动植物保护和救助、珍惜植物保护、森林病虫害防治、环境综合治理等生态保护工作。持续推行河（湖）长制、林长制;定期开展环境质量检测，进一步改善和提升景区生态功能。持续分区分类实施冰川保护行动，严禁非法进入和无序开发；持续开展“冰川盖被子”试验；进一步强化冰川、地质地貌等资源调查、保护和科研工作，最大限度地保护“大冰川”品牌及周边自然生态环境。</w:t>
            </w:r>
          </w:p>
        </w:tc>
      </w:tr>
      <w:tr w14:paraId="5BD8B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1EED4DD0">
            <w:pPr>
              <w:keepNext w:val="0"/>
              <w:keepLines w:val="0"/>
              <w:pageBreakBefore w:val="0"/>
              <w:widowControl/>
              <w:kinsoku/>
              <w:wordWrap/>
              <w:overflowPunct/>
              <w:topLinePunct w:val="0"/>
              <w:autoSpaceDE/>
              <w:autoSpaceDN/>
              <w:bidi w:val="0"/>
              <w:adjustRightInd/>
              <w:snapToGrid/>
              <w:spacing w:line="480" w:lineRule="exact"/>
              <w:jc w:val="center"/>
              <w:outlineLvl w:val="9"/>
              <w:rPr>
                <w:rFonts w:hint="default" w:ascii="Times New Roman" w:hAnsi="Times New Roman" w:eastAsia="宋体" w:cs="Times New Roman"/>
                <w:i w:val="0"/>
                <w:caps w:val="0"/>
                <w:color w:val="auto"/>
                <w:sz w:val="24"/>
                <w:szCs w:val="24"/>
                <w:highlight w:val="none"/>
                <w:u w:val="none"/>
              </w:rPr>
            </w:pPr>
          </w:p>
        </w:tc>
        <w:tc>
          <w:tcPr>
            <w:tcW w:w="2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E1615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任务3：保障人员经费支出和机关正常运行。</w:t>
            </w:r>
          </w:p>
        </w:tc>
        <w:tc>
          <w:tcPr>
            <w:tcW w:w="687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F4D3FAE">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保障人员经费支出和机关正常运行，使机关正常开展工作，为全局干部职工更好的履行工作职能提供保障。</w:t>
            </w:r>
          </w:p>
        </w:tc>
      </w:tr>
      <w:tr w14:paraId="03D39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38E65D1D">
            <w:pPr>
              <w:keepNext w:val="0"/>
              <w:keepLines w:val="0"/>
              <w:pageBreakBefore w:val="0"/>
              <w:widowControl/>
              <w:kinsoku/>
              <w:wordWrap/>
              <w:overflowPunct/>
              <w:topLinePunct w:val="0"/>
              <w:autoSpaceDE/>
              <w:autoSpaceDN/>
              <w:bidi w:val="0"/>
              <w:adjustRightInd/>
              <w:snapToGrid/>
              <w:spacing w:line="480" w:lineRule="exact"/>
              <w:jc w:val="center"/>
              <w:outlineLvl w:val="9"/>
              <w:rPr>
                <w:rFonts w:hint="default" w:ascii="Times New Roman" w:hAnsi="Times New Roman" w:eastAsia="宋体" w:cs="Times New Roman"/>
                <w:i w:val="0"/>
                <w:caps w:val="0"/>
                <w:color w:val="auto"/>
                <w:sz w:val="24"/>
                <w:szCs w:val="24"/>
                <w:highlight w:val="none"/>
                <w:u w:val="none"/>
              </w:rPr>
            </w:pPr>
          </w:p>
        </w:tc>
        <w:tc>
          <w:tcPr>
            <w:tcW w:w="2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0897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 xml:space="preserve">任务4：完善景区基础设施建设，促进景区可持续发展。  </w:t>
            </w:r>
          </w:p>
        </w:tc>
        <w:tc>
          <w:tcPr>
            <w:tcW w:w="687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474FAE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 xml:space="preserve">加大景区基础设施建设，进一步完善景区基础配套设施，促进景区可持续发展。   </w:t>
            </w:r>
          </w:p>
        </w:tc>
      </w:tr>
      <w:tr w14:paraId="02B4A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40C3AFBF">
            <w:pPr>
              <w:keepNext w:val="0"/>
              <w:keepLines w:val="0"/>
              <w:pageBreakBefore w:val="0"/>
              <w:widowControl/>
              <w:kinsoku/>
              <w:wordWrap/>
              <w:overflowPunct/>
              <w:topLinePunct w:val="0"/>
              <w:autoSpaceDE/>
              <w:autoSpaceDN/>
              <w:bidi w:val="0"/>
              <w:adjustRightInd/>
              <w:snapToGrid/>
              <w:spacing w:line="480" w:lineRule="exact"/>
              <w:jc w:val="center"/>
              <w:outlineLvl w:val="9"/>
              <w:rPr>
                <w:rFonts w:hint="default" w:ascii="Times New Roman" w:hAnsi="Times New Roman" w:eastAsia="宋体" w:cs="Times New Roman"/>
                <w:i w:val="0"/>
                <w:caps w:val="0"/>
                <w:color w:val="auto"/>
                <w:sz w:val="24"/>
                <w:szCs w:val="24"/>
                <w:highlight w:val="none"/>
                <w:u w:val="none"/>
              </w:rPr>
            </w:pPr>
          </w:p>
        </w:tc>
        <w:tc>
          <w:tcPr>
            <w:tcW w:w="2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6168F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任务5：借势借力，在景区游客招徕中出实招、见实效。</w:t>
            </w:r>
          </w:p>
        </w:tc>
        <w:tc>
          <w:tcPr>
            <w:tcW w:w="687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17C65D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立足资源优势，围绕“大冰川”品牌，策划举办第10届环达古冰川自行车挑战赛、2024年冰川彩林生态文化旅游季等系列主题活动。主动出击，在巩固成渝两地客源市场的基础上，积极开辟西安、兰州、长三角、珠三角及东南亚市场。进一步加强与旅行（商）社的联系合作，培育和发展“大冰川”旅游专线，力争景区团队游客有新突破。积极主动参加国家、省、州相关部门组织的各类旅游节，有效推进景区产品宣传和推广。持续打造提升婚纱摄影、影视拍摄、网红打卡、地学研学旅行实践“四大基地”，有力提升景区知名度和美誉度。</w:t>
            </w:r>
          </w:p>
        </w:tc>
      </w:tr>
      <w:tr w14:paraId="114C7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bottom w:val="single" w:color="000000" w:sz="4" w:space="0"/>
              <w:right w:val="single" w:color="000000" w:sz="4" w:space="0"/>
            </w:tcBorders>
            <w:shd w:val="clear" w:color="auto" w:fill="auto"/>
            <w:vAlign w:val="center"/>
          </w:tcPr>
          <w:p w14:paraId="4DAD24BC">
            <w:pPr>
              <w:keepNext w:val="0"/>
              <w:keepLines w:val="0"/>
              <w:pageBreakBefore w:val="0"/>
              <w:widowControl/>
              <w:kinsoku/>
              <w:wordWrap/>
              <w:overflowPunct/>
              <w:topLinePunct w:val="0"/>
              <w:autoSpaceDE/>
              <w:autoSpaceDN/>
              <w:bidi w:val="0"/>
              <w:adjustRightInd/>
              <w:snapToGrid/>
              <w:spacing w:line="480" w:lineRule="exact"/>
              <w:jc w:val="center"/>
              <w:outlineLvl w:val="9"/>
              <w:rPr>
                <w:rFonts w:hint="default" w:ascii="Times New Roman" w:hAnsi="Times New Roman" w:eastAsia="宋体" w:cs="Times New Roman"/>
                <w:i w:val="0"/>
                <w:caps w:val="0"/>
                <w:color w:val="auto"/>
                <w:sz w:val="24"/>
                <w:szCs w:val="24"/>
                <w:highlight w:val="none"/>
                <w:u w:val="none"/>
              </w:rPr>
            </w:pPr>
          </w:p>
        </w:tc>
        <w:tc>
          <w:tcPr>
            <w:tcW w:w="2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1D910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任务6：以人为本，在满足游客需求中服务多元化、人性化。</w:t>
            </w:r>
          </w:p>
        </w:tc>
        <w:tc>
          <w:tcPr>
            <w:tcW w:w="687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D482DF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 xml:space="preserve">遵循州委“以人民为中心”的发展思想，坚持以旅游安全为基点，以保障游客权益为宗旨，全面提升景区管理和服务质量。坚持一线服务、优质服务和靠前服务，全力打造冰川旅游新形象。持续开展以安全宣传教育、安全隐患排查整治、应急处置等为重点的旅游安全工作，坚守安全生产底线。加大旅游市场整治，依法打击强制消费、价格欺诈、坐地起价、敲诈勒索等行为；畅通投诉举报渠道，高效快捷处置各类投诉举报，有效保障游客合法权益。全面强化网络舆情监测和应对，杜绝发生重特大旅游投诉和负面影响事件。   </w:t>
            </w:r>
          </w:p>
        </w:tc>
      </w:tr>
      <w:tr w14:paraId="2840D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restart"/>
            <w:tcBorders>
              <w:top w:val="single" w:color="000000" w:sz="4" w:space="0"/>
              <w:left w:val="single" w:color="000000" w:sz="4" w:space="0"/>
              <w:right w:val="single" w:color="000000" w:sz="4" w:space="0"/>
            </w:tcBorders>
            <w:shd w:val="clear" w:color="auto" w:fill="auto"/>
            <w:vAlign w:val="center"/>
          </w:tcPr>
          <w:p w14:paraId="3B1EB73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年度绩效</w:t>
            </w:r>
          </w:p>
          <w:p w14:paraId="5E8B996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指标</w:t>
            </w: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DF9F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一级指标</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2045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二级指标</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02F1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三级指标</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9641A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绩效指标</w:t>
            </w:r>
          </w:p>
          <w:p w14:paraId="4E385F0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性质</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62C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绩效指标值</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279B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绩效度量单位</w:t>
            </w:r>
          </w:p>
        </w:tc>
        <w:tc>
          <w:tcPr>
            <w:tcW w:w="926" w:type="dxa"/>
            <w:tcBorders>
              <w:top w:val="single" w:color="000000" w:sz="4" w:space="0"/>
              <w:left w:val="single" w:color="000000" w:sz="4" w:space="0"/>
              <w:bottom w:val="single" w:color="000000" w:sz="4" w:space="0"/>
            </w:tcBorders>
            <w:shd w:val="clear" w:color="auto" w:fill="auto"/>
            <w:vAlign w:val="center"/>
          </w:tcPr>
          <w:p w14:paraId="6EC3A50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权重</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82B9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实际完成</w:t>
            </w:r>
          </w:p>
          <w:p w14:paraId="7241A28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sz w:val="24"/>
                <w:szCs w:val="24"/>
                <w:highlight w:val="none"/>
                <w:u w:val="none"/>
              </w:rPr>
            </w:pPr>
            <w:r>
              <w:rPr>
                <w:rFonts w:hint="default" w:ascii="Times New Roman" w:hAnsi="Times New Roman" w:eastAsia="宋体" w:cs="Times New Roman"/>
                <w:i w:val="0"/>
                <w:caps w:val="0"/>
                <w:color w:val="auto"/>
                <w:kern w:val="0"/>
                <w:sz w:val="24"/>
                <w:szCs w:val="24"/>
                <w:highlight w:val="none"/>
                <w:u w:val="none"/>
                <w:lang w:val="en-US" w:eastAsia="zh-CN" w:bidi="ar"/>
              </w:rPr>
              <w:t>指标值</w:t>
            </w:r>
          </w:p>
        </w:tc>
      </w:tr>
      <w:tr w14:paraId="5A0C9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297716F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restart"/>
            <w:tcBorders>
              <w:top w:val="single" w:color="000000" w:sz="4" w:space="0"/>
              <w:left w:val="single" w:color="000000" w:sz="4" w:space="0"/>
              <w:right w:val="single" w:color="000000" w:sz="4" w:space="0"/>
            </w:tcBorders>
            <w:shd w:val="clear" w:color="auto" w:fill="auto"/>
            <w:vAlign w:val="center"/>
          </w:tcPr>
          <w:p w14:paraId="357F887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产出指标</w:t>
            </w:r>
          </w:p>
        </w:tc>
        <w:tc>
          <w:tcPr>
            <w:tcW w:w="10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5E5B2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数量指标</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6CE7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景区旅游接待量</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83904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191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15</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FEB7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万人次</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61A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4</w:t>
            </w:r>
          </w:p>
        </w:tc>
        <w:tc>
          <w:tcPr>
            <w:tcW w:w="1113" w:type="dxa"/>
            <w:tcBorders>
              <w:left w:val="single" w:color="000000" w:sz="4" w:space="0"/>
              <w:bottom w:val="single" w:color="000000" w:sz="4" w:space="0"/>
              <w:right w:val="single" w:color="000000" w:sz="4" w:space="0"/>
            </w:tcBorders>
            <w:shd w:val="clear" w:color="auto" w:fill="auto"/>
            <w:vAlign w:val="center"/>
          </w:tcPr>
          <w:p w14:paraId="2E77735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23.83</w:t>
            </w:r>
          </w:p>
        </w:tc>
      </w:tr>
      <w:tr w14:paraId="73E23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65119A7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323E280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top w:val="single" w:color="000000" w:sz="4" w:space="0"/>
              <w:left w:val="single" w:color="000000" w:sz="4" w:space="0"/>
              <w:right w:val="single" w:color="000000" w:sz="4" w:space="0"/>
            </w:tcBorders>
            <w:shd w:val="clear" w:color="auto" w:fill="auto"/>
            <w:vAlign w:val="center"/>
          </w:tcPr>
          <w:p w14:paraId="06C1045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6CDD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景区生态资源保护面积</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19006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4839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623</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592E">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平方公里</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0782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373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623</w:t>
            </w:r>
          </w:p>
        </w:tc>
      </w:tr>
      <w:tr w14:paraId="689B9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611D557E">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7B333AA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right w:val="single" w:color="000000" w:sz="4" w:space="0"/>
            </w:tcBorders>
            <w:shd w:val="clear" w:color="auto" w:fill="auto"/>
            <w:vAlign w:val="center"/>
          </w:tcPr>
          <w:p w14:paraId="2EC4B69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458D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景区业务免票人次占总接待人次的比率</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43147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7122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0.5</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D58E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637D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929B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0.48</w:t>
            </w:r>
          </w:p>
        </w:tc>
      </w:tr>
      <w:tr w14:paraId="06FFC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63A59BD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7333F51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bottom w:val="single" w:color="000000" w:sz="4" w:space="0"/>
              <w:right w:val="single" w:color="000000" w:sz="4" w:space="0"/>
            </w:tcBorders>
            <w:shd w:val="clear" w:color="auto" w:fill="auto"/>
            <w:vAlign w:val="center"/>
          </w:tcPr>
          <w:p w14:paraId="3EB08A0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9782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开展森林病虫害监测工作次数</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C41E1A">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56C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5</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361B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次</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963B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3</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36BA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6</w:t>
            </w:r>
          </w:p>
        </w:tc>
      </w:tr>
      <w:tr w14:paraId="200A6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663B0AD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159A2FC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top w:val="single" w:color="000000" w:sz="4" w:space="0"/>
              <w:left w:val="single" w:color="000000" w:sz="4" w:space="0"/>
              <w:right w:val="single" w:color="000000" w:sz="4" w:space="0"/>
            </w:tcBorders>
            <w:shd w:val="clear" w:color="auto" w:fill="auto"/>
            <w:vAlign w:val="center"/>
          </w:tcPr>
          <w:p w14:paraId="4F053FA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9DF4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开展森林草原防灭火宣传次数</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D2805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63D5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84E0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次</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5AC0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3</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2266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103</w:t>
            </w:r>
          </w:p>
        </w:tc>
      </w:tr>
      <w:tr w14:paraId="67FD8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574EA24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bottom w:val="single" w:color="000000" w:sz="4" w:space="0"/>
              <w:right w:val="single" w:color="000000" w:sz="4" w:space="0"/>
            </w:tcBorders>
            <w:shd w:val="clear" w:color="auto" w:fill="auto"/>
            <w:vAlign w:val="center"/>
          </w:tcPr>
          <w:p w14:paraId="704261F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right w:val="single" w:color="000000" w:sz="4" w:space="0"/>
            </w:tcBorders>
            <w:shd w:val="clear" w:color="auto" w:fill="auto"/>
            <w:vAlign w:val="center"/>
          </w:tcPr>
          <w:p w14:paraId="668CDD0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6802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开展宣传报道推广次数</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6171C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9D8F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200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6F58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次/年</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6DE2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2D98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eastAsia" w:eastAsia="宋体" w:cs="Times New Roman"/>
                <w:i w:val="0"/>
                <w:caps w:val="0"/>
                <w:color w:val="auto"/>
                <w:kern w:val="0"/>
                <w:sz w:val="24"/>
                <w:szCs w:val="24"/>
                <w:highlight w:val="none"/>
                <w:u w:val="none"/>
                <w:lang w:val="en-US" w:eastAsia="zh-CN" w:bidi="ar"/>
              </w:rPr>
              <w:t>2600</w:t>
            </w:r>
          </w:p>
        </w:tc>
      </w:tr>
      <w:tr w14:paraId="426E2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11E5A88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8C46B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top w:val="single" w:color="000000" w:sz="4" w:space="0"/>
              <w:left w:val="single" w:color="000000" w:sz="4" w:space="0"/>
              <w:right w:val="single" w:color="000000" w:sz="4" w:space="0"/>
            </w:tcBorders>
            <w:shd w:val="clear" w:color="auto" w:fill="auto"/>
            <w:vAlign w:val="center"/>
          </w:tcPr>
          <w:p w14:paraId="0FC0A60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2E10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开展主题营销宣传活动次数</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088F6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F2DE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3</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2A29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次/年</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4912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9376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eastAsia" w:eastAsia="宋体" w:cs="Times New Roman"/>
                <w:i w:val="0"/>
                <w:caps w:val="0"/>
                <w:color w:val="auto"/>
                <w:kern w:val="0"/>
                <w:sz w:val="24"/>
                <w:szCs w:val="24"/>
                <w:highlight w:val="none"/>
                <w:u w:val="none"/>
                <w:lang w:val="en-US" w:eastAsia="zh-CN" w:bidi="ar"/>
              </w:rPr>
              <w:t>24</w:t>
            </w:r>
          </w:p>
        </w:tc>
      </w:tr>
      <w:tr w14:paraId="203C5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3D39619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top w:val="single" w:color="000000" w:sz="4" w:space="0"/>
              <w:left w:val="single" w:color="000000" w:sz="4" w:space="0"/>
              <w:right w:val="single" w:color="000000" w:sz="4" w:space="0"/>
            </w:tcBorders>
            <w:shd w:val="clear" w:color="auto" w:fill="auto"/>
            <w:vAlign w:val="center"/>
          </w:tcPr>
          <w:p w14:paraId="7A9D005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top w:val="single" w:color="000000" w:sz="4" w:space="0"/>
              <w:left w:val="single" w:color="000000" w:sz="4" w:space="0"/>
              <w:right w:val="single" w:color="000000" w:sz="4" w:space="0"/>
            </w:tcBorders>
            <w:shd w:val="clear" w:color="auto" w:fill="auto"/>
            <w:vAlign w:val="center"/>
          </w:tcPr>
          <w:p w14:paraId="0D62B1F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1C18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扩大冰川保护实验面积</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F7E80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1B8B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500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F3A3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平方米</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E50C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3</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B816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2000</w:t>
            </w:r>
          </w:p>
        </w:tc>
      </w:tr>
      <w:tr w14:paraId="509E6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5ABE697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bottom w:val="single" w:color="000000" w:sz="4" w:space="0"/>
              <w:right w:val="single" w:color="000000" w:sz="4" w:space="0"/>
            </w:tcBorders>
            <w:shd w:val="clear" w:color="auto" w:fill="auto"/>
            <w:vAlign w:val="center"/>
          </w:tcPr>
          <w:p w14:paraId="6FD0246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bottom w:val="single" w:color="000000" w:sz="4" w:space="0"/>
              <w:right w:val="single" w:color="000000" w:sz="4" w:space="0"/>
            </w:tcBorders>
            <w:shd w:val="clear" w:color="auto" w:fill="auto"/>
            <w:vAlign w:val="center"/>
          </w:tcPr>
          <w:p w14:paraId="3BC821A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2E47A">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试育种高山植物数量</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5886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E32F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1000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231F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株</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EE19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3</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AFFF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3000</w:t>
            </w:r>
          </w:p>
        </w:tc>
      </w:tr>
      <w:tr w14:paraId="6DCD2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1A9C5AB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top w:val="single" w:color="000000" w:sz="4" w:space="0"/>
              <w:left w:val="single" w:color="000000" w:sz="4" w:space="0"/>
              <w:right w:val="single" w:color="000000" w:sz="4" w:space="0"/>
            </w:tcBorders>
            <w:shd w:val="clear" w:color="auto" w:fill="auto"/>
            <w:vAlign w:val="center"/>
          </w:tcPr>
          <w:p w14:paraId="690217A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restart"/>
            <w:tcBorders>
              <w:top w:val="single" w:color="000000" w:sz="4" w:space="0"/>
              <w:left w:val="single" w:color="000000" w:sz="4" w:space="0"/>
              <w:right w:val="single" w:color="000000" w:sz="4" w:space="0"/>
            </w:tcBorders>
            <w:shd w:val="clear" w:color="auto" w:fill="auto"/>
            <w:vAlign w:val="center"/>
          </w:tcPr>
          <w:p w14:paraId="5ABD09D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质量指标</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5605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安全生产责任事故数</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00323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C5E5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4EF8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次/年</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5640E">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BE60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0</w:t>
            </w:r>
          </w:p>
        </w:tc>
      </w:tr>
      <w:tr w14:paraId="62220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309BEEA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5A7C908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right w:val="single" w:color="000000" w:sz="4" w:space="0"/>
            </w:tcBorders>
            <w:shd w:val="clear" w:color="auto" w:fill="auto"/>
            <w:vAlign w:val="center"/>
          </w:tcPr>
          <w:p w14:paraId="7D690E5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99F8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景区空气质量数据采集科学有效</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BD5AC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定性</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7A3A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优良中低差</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3053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7A35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C40B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优</w:t>
            </w:r>
          </w:p>
        </w:tc>
      </w:tr>
      <w:tr w14:paraId="479FD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263E661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0B74722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restart"/>
            <w:tcBorders>
              <w:left w:val="single" w:color="000000" w:sz="4" w:space="0"/>
              <w:right w:val="single" w:color="000000" w:sz="4" w:space="0"/>
            </w:tcBorders>
            <w:shd w:val="clear" w:color="auto" w:fill="auto"/>
            <w:vAlign w:val="center"/>
          </w:tcPr>
          <w:p w14:paraId="05B599C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时效指标</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A982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景区气象预报发布及时性</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9E446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1990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1</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B7C5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天</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4B57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C8DF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1</w:t>
            </w:r>
          </w:p>
        </w:tc>
      </w:tr>
      <w:tr w14:paraId="7F34E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531E51E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29C31E3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right w:val="single" w:color="000000" w:sz="4" w:space="0"/>
            </w:tcBorders>
            <w:shd w:val="clear" w:color="auto" w:fill="auto"/>
            <w:vAlign w:val="center"/>
          </w:tcPr>
          <w:p w14:paraId="7AFFB5E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6B87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景区设施设备维修及时性</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614A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F79A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5</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5823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天</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FFBB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222BA">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5</w:t>
            </w:r>
          </w:p>
        </w:tc>
      </w:tr>
      <w:tr w14:paraId="5AE6E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258E6D3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459D5A7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right w:val="single" w:color="000000" w:sz="4" w:space="0"/>
            </w:tcBorders>
            <w:shd w:val="clear" w:color="auto" w:fill="auto"/>
            <w:vAlign w:val="center"/>
          </w:tcPr>
          <w:p w14:paraId="08105C8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6089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信访、投诉受理及时性</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A70B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28BB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5</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4575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天</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D3A4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B16F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5</w:t>
            </w:r>
          </w:p>
        </w:tc>
      </w:tr>
      <w:tr w14:paraId="243F4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4E6A8BF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restart"/>
            <w:tcBorders>
              <w:left w:val="single" w:color="000000" w:sz="4" w:space="0"/>
              <w:right w:val="single" w:color="000000" w:sz="4" w:space="0"/>
            </w:tcBorders>
            <w:shd w:val="clear" w:color="auto" w:fill="auto"/>
            <w:vAlign w:val="center"/>
          </w:tcPr>
          <w:p w14:paraId="5C19EC1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效益指标</w:t>
            </w:r>
          </w:p>
        </w:tc>
        <w:tc>
          <w:tcPr>
            <w:tcW w:w="1034" w:type="dxa"/>
            <w:tcBorders>
              <w:left w:val="single" w:color="000000" w:sz="4" w:space="0"/>
              <w:right w:val="single" w:color="000000" w:sz="4" w:space="0"/>
            </w:tcBorders>
            <w:shd w:val="clear" w:color="auto" w:fill="auto"/>
            <w:vAlign w:val="center"/>
          </w:tcPr>
          <w:p w14:paraId="2265910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经济效益指标</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0197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当年实现景区旅游接待收入</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EB7B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88F6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1000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FC48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万元</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8A7E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4</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9591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1385.33</w:t>
            </w:r>
          </w:p>
        </w:tc>
      </w:tr>
      <w:tr w14:paraId="79889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5CE68E6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772DD17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restart"/>
            <w:tcBorders>
              <w:left w:val="single" w:color="000000" w:sz="4" w:space="0"/>
              <w:right w:val="single" w:color="000000" w:sz="4" w:space="0"/>
            </w:tcBorders>
            <w:shd w:val="clear" w:color="auto" w:fill="auto"/>
            <w:vAlign w:val="center"/>
          </w:tcPr>
          <w:p w14:paraId="2990E25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社会效益指标</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F466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良好的景区环境卫生保障对游客游览体验的改善程度</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D4263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定性</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2A80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优良中低差</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A776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A6ED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3</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BD44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优</w:t>
            </w:r>
          </w:p>
        </w:tc>
      </w:tr>
      <w:tr w14:paraId="28472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2B8B140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249841B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right w:val="single" w:color="000000" w:sz="4" w:space="0"/>
            </w:tcBorders>
            <w:shd w:val="clear" w:color="auto" w:fill="auto"/>
            <w:vAlign w:val="center"/>
          </w:tcPr>
          <w:p w14:paraId="05748A4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B018A">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旅游市场综合治理改善程度</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85D52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定性</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BCC3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优良中低差</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543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66B3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8D93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优</w:t>
            </w:r>
          </w:p>
        </w:tc>
      </w:tr>
      <w:tr w14:paraId="12FD2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60F47E4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3FBAD85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right w:val="single" w:color="000000" w:sz="4" w:space="0"/>
            </w:tcBorders>
            <w:shd w:val="clear" w:color="auto" w:fill="auto"/>
            <w:vAlign w:val="center"/>
          </w:tcPr>
          <w:p w14:paraId="553A518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0982E">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完善队伍结构，提升服务工作水平</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6D7A5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定性</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F4CD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优良中低差</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D6D6A">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7C98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3</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E844E">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优</w:t>
            </w:r>
          </w:p>
        </w:tc>
      </w:tr>
      <w:tr w14:paraId="6B8CA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530AE47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09E82D2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restart"/>
            <w:tcBorders>
              <w:left w:val="single" w:color="000000" w:sz="4" w:space="0"/>
              <w:right w:val="single" w:color="000000" w:sz="4" w:space="0"/>
            </w:tcBorders>
            <w:shd w:val="clear" w:color="auto" w:fill="auto"/>
            <w:vAlign w:val="center"/>
          </w:tcPr>
          <w:p w14:paraId="2CC26AA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生态效益指标</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8B54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科普宣传教育对游客重视生态环境保护的改善程度</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ABBA8E">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定性</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0F3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优良中低差</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B69EE">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8D88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D258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优</w:t>
            </w:r>
          </w:p>
        </w:tc>
      </w:tr>
      <w:tr w14:paraId="6425A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150" w:hRule="atLeast"/>
          <w:jc w:val="center"/>
        </w:trPr>
        <w:tc>
          <w:tcPr>
            <w:tcW w:w="1309" w:type="dxa"/>
            <w:vMerge w:val="continue"/>
            <w:tcBorders>
              <w:left w:val="single" w:color="000000" w:sz="4" w:space="0"/>
              <w:right w:val="single" w:color="000000" w:sz="4" w:space="0"/>
            </w:tcBorders>
            <w:shd w:val="clear" w:color="auto" w:fill="auto"/>
            <w:vAlign w:val="center"/>
          </w:tcPr>
          <w:p w14:paraId="637A961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7254488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right w:val="single" w:color="000000" w:sz="4" w:space="0"/>
            </w:tcBorders>
            <w:shd w:val="clear" w:color="auto" w:fill="auto"/>
            <w:vAlign w:val="center"/>
          </w:tcPr>
          <w:p w14:paraId="53C3669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4C09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景区内生态资源的有效保护程度</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EDD53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定性</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B798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优良中低差</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856F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E1E9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3</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4D87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优</w:t>
            </w:r>
          </w:p>
        </w:tc>
      </w:tr>
      <w:tr w14:paraId="6F287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1A97274E">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32E2965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right w:val="single" w:color="000000" w:sz="4" w:space="0"/>
            </w:tcBorders>
            <w:shd w:val="clear" w:color="auto" w:fill="auto"/>
            <w:vAlign w:val="center"/>
          </w:tcPr>
          <w:p w14:paraId="15BC6DDA">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AB92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景区内发生重、特大火灾次数</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BDFC1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D2AE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9F27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次</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58F2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3</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162D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0</w:t>
            </w:r>
          </w:p>
        </w:tc>
      </w:tr>
      <w:tr w14:paraId="5D45B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35DD8B7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tcBorders>
              <w:left w:val="single" w:color="000000" w:sz="4" w:space="0"/>
              <w:right w:val="single" w:color="000000" w:sz="4" w:space="0"/>
            </w:tcBorders>
            <w:shd w:val="clear" w:color="auto" w:fill="auto"/>
            <w:vAlign w:val="center"/>
          </w:tcPr>
          <w:p w14:paraId="0C82B560">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满意度指标</w:t>
            </w:r>
          </w:p>
        </w:tc>
        <w:tc>
          <w:tcPr>
            <w:tcW w:w="1034" w:type="dxa"/>
            <w:tcBorders>
              <w:left w:val="single" w:color="000000" w:sz="4" w:space="0"/>
              <w:right w:val="single" w:color="000000" w:sz="4" w:space="0"/>
            </w:tcBorders>
            <w:shd w:val="clear" w:color="auto" w:fill="auto"/>
            <w:vAlign w:val="center"/>
          </w:tcPr>
          <w:p w14:paraId="6C98889E">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服务对象满意度指标</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5D1B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游客满意度</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56CC5E">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A76C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90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AF2C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DAA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10</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2124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95</w:t>
            </w:r>
          </w:p>
        </w:tc>
      </w:tr>
      <w:tr w14:paraId="3DB06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6F377C3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restart"/>
            <w:tcBorders>
              <w:left w:val="single" w:color="000000" w:sz="4" w:space="0"/>
              <w:right w:val="single" w:color="000000" w:sz="4" w:space="0"/>
            </w:tcBorders>
            <w:shd w:val="clear" w:color="auto" w:fill="auto"/>
            <w:vAlign w:val="center"/>
          </w:tcPr>
          <w:p w14:paraId="53DFAA6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成本指标</w:t>
            </w:r>
          </w:p>
        </w:tc>
        <w:tc>
          <w:tcPr>
            <w:tcW w:w="1034" w:type="dxa"/>
            <w:vMerge w:val="restart"/>
            <w:tcBorders>
              <w:left w:val="single" w:color="000000" w:sz="4" w:space="0"/>
              <w:right w:val="single" w:color="000000" w:sz="4" w:space="0"/>
            </w:tcBorders>
            <w:shd w:val="clear" w:color="auto" w:fill="auto"/>
            <w:vAlign w:val="center"/>
          </w:tcPr>
          <w:p w14:paraId="2A76001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经济成本指标</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8F1EF">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人员成本</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EE6C7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8912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2125.39</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10FE8">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万元</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5F6AC">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10</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75DF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2418.88</w:t>
            </w:r>
          </w:p>
        </w:tc>
      </w:tr>
      <w:tr w14:paraId="6C8DE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70F1EA74">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5C201143">
            <w:pPr>
              <w:pageBreakBefore w:val="0"/>
              <w:kinsoku/>
              <w:wordWrap/>
              <w:overflowPunct/>
              <w:topLinePunct w:val="0"/>
              <w:bidi w:val="0"/>
              <w:spacing w:line="480" w:lineRule="exact"/>
              <w:jc w:val="left"/>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right w:val="single" w:color="000000" w:sz="4" w:space="0"/>
            </w:tcBorders>
            <w:shd w:val="clear" w:color="auto" w:fill="auto"/>
            <w:vAlign w:val="center"/>
          </w:tcPr>
          <w:p w14:paraId="0408E57C">
            <w:pPr>
              <w:pageBreakBefore w:val="0"/>
              <w:kinsoku/>
              <w:wordWrap/>
              <w:overflowPunct/>
              <w:topLinePunct w:val="0"/>
              <w:bidi w:val="0"/>
              <w:spacing w:line="480" w:lineRule="exact"/>
              <w:jc w:val="left"/>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1CA0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日常运行成本</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5711B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466B3">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414.75</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E84A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万元</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C237D">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5</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10C1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410.9</w:t>
            </w:r>
          </w:p>
        </w:tc>
      </w:tr>
      <w:tr w14:paraId="6E3EB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1309" w:type="dxa"/>
            <w:vMerge w:val="continue"/>
            <w:tcBorders>
              <w:left w:val="single" w:color="000000" w:sz="4" w:space="0"/>
              <w:right w:val="single" w:color="000000" w:sz="4" w:space="0"/>
            </w:tcBorders>
            <w:shd w:val="clear" w:color="auto" w:fill="auto"/>
            <w:vAlign w:val="center"/>
          </w:tcPr>
          <w:p w14:paraId="59BB0AD7">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center"/>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47" w:type="dxa"/>
            <w:vMerge w:val="continue"/>
            <w:tcBorders>
              <w:left w:val="single" w:color="000000" w:sz="4" w:space="0"/>
              <w:right w:val="single" w:color="000000" w:sz="4" w:space="0"/>
            </w:tcBorders>
            <w:shd w:val="clear" w:color="auto" w:fill="auto"/>
            <w:vAlign w:val="center"/>
          </w:tcPr>
          <w:p w14:paraId="76411100">
            <w:pPr>
              <w:pageBreakBefore w:val="0"/>
              <w:kinsoku/>
              <w:wordWrap/>
              <w:overflowPunct/>
              <w:topLinePunct w:val="0"/>
              <w:bidi w:val="0"/>
              <w:spacing w:line="480" w:lineRule="exact"/>
              <w:jc w:val="left"/>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034" w:type="dxa"/>
            <w:vMerge w:val="continue"/>
            <w:tcBorders>
              <w:left w:val="single" w:color="000000" w:sz="4" w:space="0"/>
              <w:right w:val="single" w:color="000000" w:sz="4" w:space="0"/>
            </w:tcBorders>
            <w:shd w:val="clear" w:color="auto" w:fill="auto"/>
            <w:vAlign w:val="center"/>
          </w:tcPr>
          <w:p w14:paraId="3A00F025">
            <w:pPr>
              <w:pageBreakBefore w:val="0"/>
              <w:kinsoku/>
              <w:wordWrap/>
              <w:overflowPunct/>
              <w:topLinePunct w:val="0"/>
              <w:bidi w:val="0"/>
              <w:spacing w:line="480" w:lineRule="exact"/>
              <w:jc w:val="left"/>
              <w:rPr>
                <w:rFonts w:hint="default" w:ascii="Times New Roman" w:hAnsi="Times New Roman" w:eastAsia="宋体" w:cs="Times New Roman"/>
                <w:i w:val="0"/>
                <w:caps w:val="0"/>
                <w:color w:val="auto"/>
                <w:kern w:val="0"/>
                <w:sz w:val="24"/>
                <w:szCs w:val="24"/>
                <w:highlight w:val="none"/>
                <w:u w:val="none"/>
                <w:lang w:val="en-US" w:eastAsia="zh-CN" w:bidi="ar"/>
              </w:rPr>
            </w:pP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268AB">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项目运行成本</w:t>
            </w: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FF58A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0CBD6">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1817.16</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74DE5">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万元</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DEF1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5</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E11D1">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both"/>
              <w:textAlignment w:val="center"/>
              <w:outlineLvl w:val="9"/>
              <w:rPr>
                <w:rFonts w:hint="default" w:ascii="Times New Roman" w:hAnsi="Times New Roman" w:eastAsia="宋体" w:cs="Times New Roman"/>
                <w:i w:val="0"/>
                <w:caps w:val="0"/>
                <w:color w:val="auto"/>
                <w:kern w:val="0"/>
                <w:sz w:val="24"/>
                <w:szCs w:val="24"/>
                <w:highlight w:val="none"/>
                <w:u w:val="none"/>
                <w:lang w:val="en-US" w:eastAsia="zh-CN" w:bidi="ar"/>
              </w:rPr>
            </w:pPr>
            <w:r>
              <w:rPr>
                <w:rFonts w:hint="default" w:ascii="Times New Roman" w:hAnsi="Times New Roman" w:eastAsia="宋体" w:cs="Times New Roman"/>
                <w:i w:val="0"/>
                <w:caps w:val="0"/>
                <w:color w:val="auto"/>
                <w:kern w:val="0"/>
                <w:sz w:val="24"/>
                <w:szCs w:val="24"/>
                <w:highlight w:val="none"/>
                <w:u w:val="none"/>
                <w:lang w:val="en-US" w:eastAsia="zh-CN" w:bidi="ar"/>
              </w:rPr>
              <w:t>1223.47</w:t>
            </w:r>
          </w:p>
        </w:tc>
      </w:tr>
    </w:tbl>
    <w:p w14:paraId="667A7133">
      <w:pPr>
        <w:keepNext w:val="0"/>
        <w:keepLines w:val="0"/>
        <w:pageBreakBefore w:val="0"/>
        <w:widowControl/>
        <w:kinsoku/>
        <w:wordWrap/>
        <w:overflowPunct/>
        <w:topLinePunct w:val="0"/>
        <w:autoSpaceDE/>
        <w:autoSpaceDN/>
        <w:bidi w:val="0"/>
        <w:adjustRightInd w:val="0"/>
        <w:snapToGrid w:val="0"/>
        <w:spacing w:line="480" w:lineRule="exact"/>
        <w:ind w:firstLine="640" w:firstLineChars="200"/>
        <w:contextualSpacing/>
        <w:jc w:val="left"/>
        <w:textAlignment w:val="auto"/>
        <w:outlineLvl w:val="9"/>
        <w:rPr>
          <w:rFonts w:hint="eastAsia" w:ascii="Times New Roman" w:hAnsi="Times New Roman" w:eastAsia="仿宋_GB2312" w:cs="Times New Roman"/>
          <w:sz w:val="32"/>
          <w:szCs w:val="32"/>
          <w:u w:val="none"/>
          <w:lang w:val="en" w:eastAsia="zh-CN" w:bidi="ar"/>
        </w:rPr>
      </w:pPr>
    </w:p>
    <w:bookmarkEnd w:id="53"/>
    <w:p w14:paraId="09B426C2">
      <w:pPr>
        <w:pStyle w:val="12"/>
        <w:keepNext w:val="0"/>
        <w:keepLines w:val="0"/>
        <w:pageBreakBefore w:val="0"/>
        <w:numPr>
          <w:ilvl w:val="0"/>
          <w:numId w:val="0"/>
        </w:numPr>
        <w:kinsoku/>
        <w:wordWrap/>
        <w:overflowPunct/>
        <w:topLinePunct w:val="0"/>
        <w:autoSpaceDE/>
        <w:autoSpaceDN/>
        <w:bidi w:val="0"/>
        <w:spacing w:after="0" w:line="480" w:lineRule="exact"/>
        <w:ind w:firstLine="640" w:firstLineChars="200"/>
        <w:textAlignment w:val="auto"/>
        <w:rPr>
          <w:rFonts w:hint="eastAsia" w:ascii="Times New Roman" w:hAnsi="Times New Roman" w:eastAsia="仿宋_GB2312" w:cs="Times New Roman"/>
          <w:kern w:val="2"/>
          <w:sz w:val="32"/>
          <w:szCs w:val="32"/>
          <w:u w:val="none"/>
          <w:lang w:val="zh-CN" w:eastAsia="zh-CN" w:bidi="ar"/>
        </w:rPr>
      </w:pPr>
    </w:p>
    <w:p w14:paraId="37BFD358">
      <w:pPr>
        <w:pStyle w:val="6"/>
        <w:pageBreakBefore w:val="0"/>
        <w:kinsoku/>
        <w:wordWrap/>
        <w:overflowPunct/>
        <w:topLinePunct w:val="0"/>
        <w:bidi w:val="0"/>
        <w:spacing w:beforeLines="0" w:line="480" w:lineRule="exact"/>
        <w:rPr>
          <w:rFonts w:hint="eastAsia" w:ascii="Times New Roman" w:hAnsi="Times New Roman" w:cs="宋体"/>
          <w:color w:val="FF0000"/>
          <w:kern w:val="0"/>
          <w:sz w:val="32"/>
          <w:szCs w:val="32"/>
          <w:highlight w:val="yellow"/>
          <w:shd w:val="clear" w:color="auto" w:fill="FFFFFF"/>
          <w:lang w:val="zh-CN"/>
        </w:rPr>
      </w:pPr>
    </w:p>
    <w:p w14:paraId="47BC25D8">
      <w:pPr>
        <w:pageBreakBefore w:val="0"/>
        <w:kinsoku/>
        <w:wordWrap/>
        <w:overflowPunct/>
        <w:topLinePunct w:val="0"/>
        <w:bidi w:val="0"/>
        <w:spacing w:line="480" w:lineRule="exact"/>
        <w:rPr>
          <w:rFonts w:hint="eastAsia" w:ascii="Times New Roman" w:hAnsi="Times New Roman" w:eastAsia="黑体" w:cs="黑体"/>
          <w:color w:val="auto"/>
          <w:kern w:val="0"/>
          <w:sz w:val="32"/>
          <w:szCs w:val="32"/>
          <w:highlight w:val="none"/>
          <w:shd w:val="clear" w:color="auto" w:fill="FFFFFF"/>
          <w:lang w:val="zh-CN"/>
        </w:rPr>
      </w:pPr>
      <w:r>
        <w:rPr>
          <w:rFonts w:hint="eastAsia" w:ascii="Times New Roman" w:hAnsi="Times New Roman" w:eastAsia="黑体" w:cs="黑体"/>
          <w:color w:val="auto"/>
          <w:kern w:val="0"/>
          <w:sz w:val="32"/>
          <w:szCs w:val="32"/>
          <w:highlight w:val="none"/>
          <w:shd w:val="clear" w:color="auto" w:fill="FFFFFF"/>
          <w:lang w:val="zh-CN"/>
        </w:rPr>
        <w:br w:type="page"/>
      </w:r>
    </w:p>
    <w:p w14:paraId="4F58E086">
      <w:pPr>
        <w:pStyle w:val="6"/>
        <w:pageBreakBefore w:val="0"/>
        <w:kinsoku/>
        <w:wordWrap/>
        <w:overflowPunct/>
        <w:topLinePunct w:val="0"/>
        <w:bidi w:val="0"/>
        <w:spacing w:beforeLines="0" w:line="480" w:lineRule="exact"/>
        <w:rPr>
          <w:rFonts w:hint="eastAsia"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kern w:val="0"/>
          <w:sz w:val="32"/>
          <w:szCs w:val="32"/>
          <w:highlight w:val="none"/>
          <w:shd w:val="clear" w:color="auto" w:fill="FFFFFF"/>
          <w:lang w:val="zh-CN"/>
        </w:rPr>
        <w:t>附件</w:t>
      </w:r>
      <w:r>
        <w:rPr>
          <w:rFonts w:hint="eastAsia" w:ascii="Times New Roman" w:hAnsi="Times New Roman" w:eastAsia="黑体" w:cs="黑体"/>
          <w:color w:val="auto"/>
          <w:kern w:val="0"/>
          <w:sz w:val="32"/>
          <w:szCs w:val="32"/>
          <w:highlight w:val="none"/>
          <w:shd w:val="clear" w:color="auto" w:fill="FFFFFF"/>
          <w:lang w:val="en-US" w:eastAsia="zh-CN"/>
        </w:rPr>
        <w:t>2</w:t>
      </w:r>
    </w:p>
    <w:p w14:paraId="654E4979">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default" w:ascii="Times New Roman" w:hAnsi="Times New Roman" w:eastAsia="方正小标宋简体" w:cs="Times New Roman"/>
          <w:color w:val="auto"/>
          <w:kern w:val="2"/>
          <w:sz w:val="44"/>
          <w:szCs w:val="44"/>
          <w:highlight w:val="none"/>
          <w:lang w:val="en-US" w:eastAsia="zh-CN"/>
        </w:rPr>
      </w:pPr>
      <w:r>
        <w:rPr>
          <w:rFonts w:hint="default" w:ascii="Times New Roman" w:hAnsi="Times New Roman" w:eastAsia="方正小标宋简体" w:cs="Times New Roman"/>
          <w:color w:val="auto"/>
          <w:kern w:val="2"/>
          <w:sz w:val="44"/>
          <w:szCs w:val="44"/>
          <w:highlight w:val="none"/>
          <w:lang w:val="en-US" w:eastAsia="zh-CN"/>
        </w:rPr>
        <w:t>2023年第三批和第四批省级项目专项资金专项预算绩效自评报告</w:t>
      </w:r>
    </w:p>
    <w:p w14:paraId="23F75405">
      <w:pPr>
        <w:pStyle w:val="23"/>
        <w:keepNext w:val="0"/>
        <w:keepLines w:val="0"/>
        <w:pageBreakBefore w:val="0"/>
        <w:widowControl w:val="0"/>
        <w:kinsoku/>
        <w:wordWrap/>
        <w:overflowPunct/>
        <w:topLinePunct w:val="0"/>
        <w:autoSpaceDE/>
        <w:autoSpaceDN/>
        <w:bidi w:val="0"/>
        <w:spacing w:line="480" w:lineRule="exact"/>
        <w:ind w:left="0" w:leftChars="0" w:firstLine="640"/>
        <w:jc w:val="center"/>
        <w:textAlignment w:val="auto"/>
        <w:rPr>
          <w:rFonts w:hint="default" w:ascii="Times New Roman" w:hAnsi="Times New Roman" w:cs="Times New Roman"/>
          <w:color w:val="auto"/>
          <w:kern w:val="2"/>
          <w:sz w:val="32"/>
          <w:szCs w:val="32"/>
          <w:highlight w:val="none"/>
        </w:rPr>
      </w:pPr>
    </w:p>
    <w:p w14:paraId="6B9E40EF">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eastAsia="黑体" w:cs="Times New Roman"/>
          <w:sz w:val="32"/>
          <w:szCs w:val="32"/>
          <w:highlight w:val="none"/>
          <w:lang w:val="zh-CN"/>
        </w:rPr>
      </w:pPr>
      <w:r>
        <w:rPr>
          <w:rFonts w:hint="default" w:ascii="Times New Roman" w:hAnsi="Times New Roman" w:eastAsia="黑体" w:cs="Times New Roman"/>
          <w:sz w:val="32"/>
          <w:szCs w:val="32"/>
          <w:highlight w:val="none"/>
        </w:rPr>
        <w:t>一、</w:t>
      </w:r>
      <w:r>
        <w:rPr>
          <w:rFonts w:hint="default" w:ascii="Times New Roman" w:hAnsi="Times New Roman" w:eastAsia="黑体" w:cs="Times New Roman"/>
          <w:sz w:val="32"/>
          <w:szCs w:val="32"/>
          <w:highlight w:val="none"/>
          <w:lang w:val="zh-CN"/>
        </w:rPr>
        <w:t>项目概况</w:t>
      </w:r>
    </w:p>
    <w:p w14:paraId="59D5BB58">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3" w:firstLineChars="200"/>
        <w:contextualSpacing/>
        <w:jc w:val="left"/>
        <w:textAlignment w:val="auto"/>
        <w:rPr>
          <w:rFonts w:hint="default" w:ascii="Times New Roman" w:hAnsi="Times New Roman" w:eastAsia="楷体_GB2312" w:cs="Times New Roman"/>
          <w:b/>
          <w:color w:val="auto"/>
          <w:sz w:val="32"/>
          <w:szCs w:val="32"/>
          <w:highlight w:val="none"/>
          <w:u w:val="none"/>
          <w:lang w:val="zh-CN" w:eastAsia="zh-CN"/>
        </w:rPr>
      </w:pPr>
      <w:r>
        <w:rPr>
          <w:rFonts w:hint="default" w:ascii="Times New Roman" w:hAnsi="Times New Roman" w:eastAsia="楷体_GB2312" w:cs="Times New Roman"/>
          <w:b/>
          <w:color w:val="auto"/>
          <w:sz w:val="32"/>
          <w:szCs w:val="32"/>
          <w:highlight w:val="none"/>
          <w:u w:val="none"/>
          <w:lang w:val="zh-CN" w:eastAsia="zh-CN"/>
        </w:rPr>
        <w:t>（一）设立背景及基本情况。</w:t>
      </w:r>
    </w:p>
    <w:p w14:paraId="1F5AC7F2">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eastAsia" w:ascii="Times New Roman" w:hAnsi="Times New Roman" w:eastAsia="仿宋_GB2312" w:cs="Times New Roman"/>
          <w:color w:val="auto"/>
          <w:kern w:val="0"/>
          <w:sz w:val="32"/>
          <w:szCs w:val="32"/>
          <w:highlight w:val="none"/>
          <w:u w:val="none"/>
          <w:shd w:val="clear" w:color="auto" w:fill="FFFFFF"/>
          <w:lang w:val="en-US" w:eastAsia="zh-CN"/>
        </w:rPr>
        <w:t>本项目为2023年第三批和第四批省级项目专项资金，经费20万元，同时整合科研经费6万元，合计经费26万元，用于达古冰川沉浸式VR系统开发工作。项目立项后，通过采购形式确定四川旅游学院为项目实施单位，主要开展利用VR技术,将达古冰川景区自然风光、冰川变迁、红色景点、珍惜动植物、藏族建筑等研学内容设计成数字化内容，并集成到VR系统中，游客可以实现交互操作，其开发周期为6个月，完成虚拟场景构建和交互功能设计，开发设计5个模块，有效增强游客旅游体验，提高游客旅游体验感和互动参与感。</w:t>
      </w:r>
      <w:r>
        <w:rPr>
          <w:rFonts w:hint="eastAsia" w:eastAsia="仿宋_GB2312" w:cs="Times New Roman"/>
          <w:color w:val="auto"/>
          <w:kern w:val="0"/>
          <w:sz w:val="32"/>
          <w:szCs w:val="32"/>
          <w:highlight w:val="none"/>
          <w:u w:val="none"/>
          <w:shd w:val="clear" w:color="auto" w:fill="FFFFFF"/>
          <w:lang w:val="en-US" w:eastAsia="zh-CN"/>
        </w:rPr>
        <w:t xml:space="preserve">  </w:t>
      </w:r>
    </w:p>
    <w:p w14:paraId="1E719AB8">
      <w:pPr>
        <w:keepNext w:val="0"/>
        <w:keepLines w:val="0"/>
        <w:pageBreakBefore w:val="0"/>
        <w:numPr>
          <w:ilvl w:val="0"/>
          <w:numId w:val="2"/>
        </w:numPr>
        <w:kinsoku/>
        <w:wordWrap/>
        <w:overflowPunct/>
        <w:topLinePunct w:val="0"/>
        <w:autoSpaceDE/>
        <w:autoSpaceDN/>
        <w:bidi w:val="0"/>
        <w:adjustRightInd w:val="0"/>
        <w:snapToGrid w:val="0"/>
        <w:spacing w:line="480" w:lineRule="exact"/>
        <w:ind w:left="0" w:leftChars="0" w:firstLine="643" w:firstLineChars="200"/>
        <w:textAlignment w:val="auto"/>
        <w:rPr>
          <w:rFonts w:hint="default" w:ascii="Times New Roman" w:hAnsi="Times New Roman" w:eastAsia="楷体_GB2312" w:cs="Times New Roman"/>
          <w:b/>
          <w:color w:val="auto"/>
          <w:sz w:val="32"/>
          <w:szCs w:val="32"/>
          <w:highlight w:val="none"/>
          <w:u w:val="none"/>
          <w:lang w:val="zh-CN"/>
        </w:rPr>
      </w:pPr>
      <w:r>
        <w:rPr>
          <w:rFonts w:hint="default" w:ascii="Times New Roman" w:hAnsi="Times New Roman" w:eastAsia="楷体_GB2312" w:cs="Times New Roman"/>
          <w:b/>
          <w:color w:val="auto"/>
          <w:sz w:val="32"/>
          <w:szCs w:val="32"/>
          <w:highlight w:val="none"/>
          <w:u w:val="none"/>
          <w:lang w:val="en-US" w:eastAsia="zh-CN"/>
        </w:rPr>
        <w:t>实施目的及支持方向。</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本项目资金使用严格按照财务管理相关制度实施，项目实施目的为开发达古冰川沉浸式VR系统并投入使用，有效提升游客互动体验感</w:t>
      </w:r>
      <w:r>
        <w:rPr>
          <w:rFonts w:hint="default" w:ascii="Times New Roman" w:hAnsi="Times New Roman" w:eastAsia="仿宋_GB2312" w:cs="Times New Roman"/>
          <w:color w:val="auto"/>
          <w:kern w:val="0"/>
          <w:sz w:val="32"/>
          <w:szCs w:val="32"/>
          <w:highlight w:val="none"/>
          <w:u w:val="none"/>
          <w:shd w:val="clear" w:color="auto" w:fill="FFFFFF"/>
          <w:lang w:val="zh-CN" w:eastAsia="zh-CN"/>
        </w:rPr>
        <w:t>。</w:t>
      </w:r>
    </w:p>
    <w:p w14:paraId="1E4E6E78">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3" w:firstLineChars="200"/>
        <w:contextualSpacing/>
        <w:jc w:val="left"/>
        <w:textAlignment w:val="auto"/>
        <w:rPr>
          <w:rFonts w:hint="default" w:ascii="Times New Roman" w:hAnsi="Times New Roman" w:cs="Times New Roman"/>
          <w:color w:val="auto"/>
          <w:kern w:val="0"/>
          <w:sz w:val="32"/>
          <w:szCs w:val="32"/>
          <w:highlight w:val="none"/>
          <w:u w:val="none"/>
          <w:shd w:val="clear" w:color="auto" w:fill="FFFFFF"/>
          <w:lang w:val="zh-CN"/>
        </w:rPr>
      </w:pPr>
      <w:r>
        <w:rPr>
          <w:rFonts w:hint="default" w:ascii="Times New Roman" w:hAnsi="Times New Roman" w:eastAsia="楷体_GB2312" w:cs="Times New Roman"/>
          <w:b/>
          <w:color w:val="auto"/>
          <w:sz w:val="32"/>
          <w:szCs w:val="32"/>
          <w:highlight w:val="none"/>
          <w:u w:val="none"/>
          <w:lang w:val="zh-CN" w:eastAsia="zh-CN"/>
        </w:rPr>
        <w:t>（三）</w:t>
      </w:r>
      <w:r>
        <w:rPr>
          <w:rFonts w:hint="default" w:ascii="Times New Roman" w:hAnsi="Times New Roman" w:eastAsia="楷体_GB2312" w:cs="Times New Roman"/>
          <w:b/>
          <w:color w:val="auto"/>
          <w:sz w:val="32"/>
          <w:szCs w:val="32"/>
          <w:highlight w:val="none"/>
          <w:u w:val="none"/>
          <w:lang w:val="en-US" w:eastAsia="zh-CN"/>
        </w:rPr>
        <w:t>预算安排及分配管理</w:t>
      </w:r>
      <w:r>
        <w:rPr>
          <w:rFonts w:hint="default" w:ascii="Times New Roman" w:hAnsi="Times New Roman" w:eastAsia="楷体_GB2312" w:cs="Times New Roman"/>
          <w:b/>
          <w:color w:val="auto"/>
          <w:sz w:val="32"/>
          <w:szCs w:val="32"/>
          <w:highlight w:val="none"/>
          <w:u w:val="none"/>
          <w:lang w:val="zh-CN" w:eastAsia="zh-CN"/>
        </w:rPr>
        <w:t>。</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项目资金预算26万元，其中2023年第三批和第四批省级项目专项资金20万元，整合科研经费6万元，用于达古冰川沉浸式VR开发系统工作。</w:t>
      </w:r>
    </w:p>
    <w:p w14:paraId="05251865">
      <w:pPr>
        <w:keepNext w:val="0"/>
        <w:keepLines w:val="0"/>
        <w:pageBreakBefore w:val="0"/>
        <w:kinsoku/>
        <w:wordWrap/>
        <w:overflowPunct/>
        <w:topLinePunct w:val="0"/>
        <w:autoSpaceDE/>
        <w:autoSpaceDN/>
        <w:bidi w:val="0"/>
        <w:adjustRightInd w:val="0"/>
        <w:snapToGrid w:val="0"/>
        <w:spacing w:line="480" w:lineRule="exact"/>
        <w:ind w:left="0" w:leftChars="0" w:firstLine="643"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楷体_GB2312" w:cs="Times New Roman"/>
          <w:b/>
          <w:color w:val="auto"/>
          <w:sz w:val="32"/>
          <w:szCs w:val="32"/>
          <w:highlight w:val="none"/>
          <w:u w:val="none"/>
          <w:lang w:val="zh-CN" w:eastAsia="zh-CN"/>
        </w:rPr>
        <w:t>（四）项目绩效目标设置。</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项目立项后，严格按照相关程序进行推动，其项目自评内容为省级专项资金支出合规率达100%，经费支出及时率达100%，项目完成时限为2024年底完成，有利于冰川生态保护，对达古冰川生态环境影响，满意度达100%，专项资金使用成本控制在26万元内。开发VR系统1套，VR头盔及显示系统4套。</w:t>
      </w:r>
    </w:p>
    <w:p w14:paraId="10F371CD">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eastAsia="黑体" w:cs="Times New Roman"/>
          <w:sz w:val="32"/>
          <w:szCs w:val="32"/>
          <w:highlight w:val="none"/>
          <w:lang w:eastAsia="zh-CN"/>
        </w:rPr>
      </w:pPr>
      <w:r>
        <w:rPr>
          <w:rFonts w:hint="default" w:ascii="Times New Roman" w:hAnsi="Times New Roman" w:eastAsia="黑体" w:cs="Times New Roman"/>
          <w:sz w:val="32"/>
          <w:szCs w:val="32"/>
          <w:highlight w:val="none"/>
        </w:rPr>
        <w:t>二、</w:t>
      </w:r>
      <w:r>
        <w:rPr>
          <w:rFonts w:hint="default" w:ascii="Times New Roman" w:hAnsi="Times New Roman" w:eastAsia="黑体" w:cs="Times New Roman"/>
          <w:sz w:val="32"/>
          <w:szCs w:val="32"/>
          <w:highlight w:val="none"/>
          <w:lang w:eastAsia="zh-CN"/>
        </w:rPr>
        <w:t>评价实施</w:t>
      </w:r>
    </w:p>
    <w:p w14:paraId="0CDE80D8">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楷体_GB2312" w:cs="Times New Roman"/>
          <w:b/>
          <w:color w:val="auto"/>
          <w:sz w:val="32"/>
          <w:szCs w:val="32"/>
          <w:highlight w:val="none"/>
          <w:u w:val="none"/>
          <w:lang w:val="zh-CN"/>
        </w:rPr>
        <w:t>（一）评价目的。</w:t>
      </w:r>
      <w:r>
        <w:rPr>
          <w:rFonts w:hint="default" w:ascii="Times New Roman" w:hAnsi="Times New Roman" w:eastAsia="仿宋_GB2312" w:cs="Times New Roman"/>
          <w:color w:val="auto"/>
          <w:kern w:val="0"/>
          <w:sz w:val="32"/>
          <w:szCs w:val="32"/>
          <w:highlight w:val="none"/>
          <w:u w:val="none"/>
          <w:shd w:val="clear" w:color="auto" w:fill="FFFFFF"/>
          <w:lang w:val="en-US" w:eastAsia="zh-CN"/>
        </w:rPr>
        <w:t>通过项目绩效自评</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实现对项目实施过程的监督以及确保项目实施达到预期效果</w:t>
      </w:r>
      <w:r>
        <w:rPr>
          <w:rFonts w:hint="default" w:ascii="Times New Roman" w:hAnsi="Times New Roman" w:eastAsia="仿宋_GB2312" w:cs="Times New Roman"/>
          <w:color w:val="auto"/>
          <w:kern w:val="0"/>
          <w:sz w:val="32"/>
          <w:szCs w:val="32"/>
          <w:highlight w:val="none"/>
          <w:u w:val="none"/>
          <w:shd w:val="clear" w:color="auto" w:fill="FFFFFF"/>
          <w:lang w:val="en-US" w:eastAsia="zh-CN"/>
        </w:rPr>
        <w:t>。</w:t>
      </w:r>
    </w:p>
    <w:p w14:paraId="13C25A8C">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643" w:firstLineChars="20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楷体_GB2312" w:cs="Times New Roman"/>
          <w:b/>
          <w:color w:val="auto"/>
          <w:sz w:val="32"/>
          <w:szCs w:val="32"/>
          <w:highlight w:val="none"/>
          <w:u w:val="none"/>
          <w:lang w:val="zh-CN"/>
        </w:rPr>
        <w:t>（二）预设问题及评价重点。</w:t>
      </w:r>
      <w:r>
        <w:rPr>
          <w:rFonts w:hint="default" w:ascii="Times New Roman" w:hAnsi="Times New Roman" w:eastAsia="仿宋_GB2312" w:cs="Times New Roman"/>
          <w:color w:val="auto"/>
          <w:kern w:val="0"/>
          <w:sz w:val="32"/>
          <w:szCs w:val="32"/>
          <w:highlight w:val="none"/>
          <w:u w:val="none"/>
          <w:shd w:val="clear" w:color="auto" w:fill="FFFFFF"/>
          <w:lang w:val="en-US" w:eastAsia="zh-CN"/>
        </w:rPr>
        <w:t>按照绩效评价指标体系，资金支出使用全过程</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流程规范，其实施效果良好</w:t>
      </w:r>
      <w:r>
        <w:rPr>
          <w:rFonts w:hint="default" w:ascii="Times New Roman" w:hAnsi="Times New Roman" w:eastAsia="仿宋_GB2312" w:cs="Times New Roman"/>
          <w:color w:val="auto"/>
          <w:kern w:val="0"/>
          <w:sz w:val="32"/>
          <w:szCs w:val="32"/>
          <w:highlight w:val="none"/>
          <w:u w:val="none"/>
          <w:shd w:val="clear" w:color="auto" w:fill="FFFFFF"/>
          <w:lang w:val="en-US" w:eastAsia="zh-CN"/>
        </w:rPr>
        <w:t>。</w:t>
      </w:r>
    </w:p>
    <w:p w14:paraId="1CFF0BF4">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643" w:firstLineChars="20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楷体_GB2312" w:cs="Times New Roman"/>
          <w:b/>
          <w:color w:val="auto"/>
          <w:sz w:val="32"/>
          <w:szCs w:val="32"/>
          <w:highlight w:val="none"/>
          <w:u w:val="none"/>
          <w:lang w:val="zh-CN"/>
        </w:rPr>
        <w:t>（三）评价选点。</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本项目开展项目自评。</w:t>
      </w:r>
    </w:p>
    <w:p w14:paraId="231170D9">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eastAsia"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楷体_GB2312" w:cs="Times New Roman"/>
          <w:b/>
          <w:color w:val="auto"/>
          <w:sz w:val="32"/>
          <w:szCs w:val="32"/>
          <w:highlight w:val="none"/>
          <w:u w:val="none"/>
          <w:lang w:val="zh-CN"/>
        </w:rPr>
        <w:t>（四）评价方法。</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本项目评价方法为</w:t>
      </w:r>
      <w:r>
        <w:rPr>
          <w:rFonts w:hint="default" w:ascii="Times New Roman" w:hAnsi="Times New Roman" w:eastAsia="仿宋_GB2312" w:cs="Times New Roman"/>
          <w:color w:val="auto"/>
          <w:kern w:val="0"/>
          <w:sz w:val="32"/>
          <w:szCs w:val="32"/>
          <w:highlight w:val="none"/>
          <w:u w:val="none"/>
          <w:shd w:val="clear" w:color="auto" w:fill="FFFFFF"/>
          <w:lang w:val="en-US" w:eastAsia="zh-CN"/>
        </w:rPr>
        <w:t>单位自评法</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w:t>
      </w:r>
    </w:p>
    <w:p w14:paraId="0427D3DD">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szCs w:val="32"/>
          <w:lang w:val="en-US" w:eastAsia="zh-CN"/>
        </w:rPr>
      </w:pPr>
      <w:r>
        <w:rPr>
          <w:rFonts w:hint="default" w:ascii="Times New Roman" w:hAnsi="Times New Roman" w:eastAsia="楷体_GB2312" w:cs="Times New Roman"/>
          <w:b/>
          <w:color w:val="auto"/>
          <w:sz w:val="32"/>
          <w:szCs w:val="32"/>
          <w:highlight w:val="none"/>
          <w:u w:val="none"/>
          <w:lang w:val="zh-CN"/>
        </w:rPr>
        <w:t>（五）评价组织。</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本项目自评组实现分管领导负责制，处室负责同志牵头，负责项目实施过程的全程监督，确保项目按时实施，项目达到预期效果</w:t>
      </w:r>
      <w:r>
        <w:rPr>
          <w:rFonts w:hint="default" w:ascii="Times New Roman" w:hAnsi="Times New Roman" w:eastAsia="仿宋_GB2312" w:cs="Times New Roman"/>
          <w:color w:val="auto"/>
          <w:kern w:val="0"/>
          <w:sz w:val="32"/>
          <w:szCs w:val="32"/>
          <w:highlight w:val="none"/>
          <w:u w:val="none"/>
          <w:shd w:val="clear" w:color="auto" w:fill="FFFFFF"/>
          <w:lang w:val="en-US" w:eastAsia="zh-CN"/>
        </w:rPr>
        <w:t>。</w:t>
      </w:r>
    </w:p>
    <w:p w14:paraId="343A5109">
      <w:pPr>
        <w:keepNext w:val="0"/>
        <w:keepLines w:val="0"/>
        <w:pageBreakBefore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cs="Times New Roman"/>
          <w:color w:val="auto"/>
          <w:sz w:val="32"/>
          <w:szCs w:val="32"/>
          <w:highlight w:val="none"/>
          <w:u w:val="none"/>
          <w:lang w:val="zh-CN"/>
        </w:rPr>
      </w:pPr>
      <w:r>
        <w:rPr>
          <w:rFonts w:hint="default" w:ascii="Times New Roman" w:hAnsi="Times New Roman" w:eastAsia="黑体" w:cs="Times New Roman"/>
          <w:color w:val="auto"/>
          <w:sz w:val="32"/>
          <w:szCs w:val="32"/>
          <w:highlight w:val="none"/>
          <w:u w:val="none"/>
        </w:rPr>
        <w:t>三、</w:t>
      </w:r>
      <w:r>
        <w:rPr>
          <w:rFonts w:hint="default" w:ascii="Times New Roman" w:hAnsi="Times New Roman" w:eastAsia="黑体" w:cs="Times New Roman"/>
          <w:color w:val="auto"/>
          <w:sz w:val="32"/>
          <w:szCs w:val="32"/>
          <w:highlight w:val="none"/>
          <w:u w:val="none"/>
          <w:lang w:eastAsia="zh-CN"/>
        </w:rPr>
        <w:t>绩效分析</w:t>
      </w:r>
      <w:r>
        <w:rPr>
          <w:rFonts w:hint="default" w:ascii="Times New Roman" w:hAnsi="Times New Roman" w:cs="Times New Roman"/>
          <w:color w:val="auto"/>
          <w:sz w:val="32"/>
          <w:szCs w:val="32"/>
          <w:highlight w:val="none"/>
          <w:u w:val="none"/>
          <w:lang w:val="zh-CN"/>
        </w:rPr>
        <w:tab/>
      </w:r>
    </w:p>
    <w:p w14:paraId="5988D750">
      <w:pPr>
        <w:keepNext w:val="0"/>
        <w:keepLines w:val="0"/>
        <w:pageBreakBefore w:val="0"/>
        <w:widowControl w:val="0"/>
        <w:kinsoku/>
        <w:wordWrap/>
        <w:overflowPunct/>
        <w:topLinePunct w:val="0"/>
        <w:autoSpaceDE/>
        <w:autoSpaceDN/>
        <w:bidi w:val="0"/>
        <w:adjustRightInd/>
        <w:snapToGrid/>
        <w:spacing w:line="480" w:lineRule="exact"/>
        <w:ind w:firstLine="640"/>
        <w:textAlignment w:val="auto"/>
        <w:outlineLvl w:val="9"/>
        <w:rPr>
          <w:rFonts w:hint="default" w:ascii="Times New Roman" w:hAnsi="Times New Roman" w:eastAsia="楷体_GB2312" w:cs="Times New Roman"/>
          <w:b/>
          <w:color w:val="auto"/>
          <w:sz w:val="32"/>
          <w:szCs w:val="32"/>
          <w:highlight w:val="none"/>
          <w:u w:val="none"/>
          <w:lang w:val="en-US" w:eastAsia="zh-CN"/>
        </w:rPr>
      </w:pPr>
      <w:r>
        <w:rPr>
          <w:rFonts w:hint="default" w:ascii="Times New Roman" w:hAnsi="Times New Roman" w:eastAsia="楷体_GB2312" w:cs="Times New Roman"/>
          <w:b/>
          <w:color w:val="auto"/>
          <w:sz w:val="32"/>
          <w:szCs w:val="32"/>
          <w:highlight w:val="none"/>
          <w:u w:val="none"/>
          <w:lang w:val="zh-CN"/>
        </w:rPr>
        <w:t>（一）</w:t>
      </w:r>
      <w:r>
        <w:rPr>
          <w:rFonts w:hint="default" w:ascii="Times New Roman" w:hAnsi="Times New Roman" w:eastAsia="楷体_GB2312" w:cs="Times New Roman"/>
          <w:b/>
          <w:color w:val="auto"/>
          <w:sz w:val="32"/>
          <w:szCs w:val="32"/>
          <w:highlight w:val="none"/>
          <w:u w:val="none"/>
          <w:lang w:val="en-US" w:eastAsia="zh-CN"/>
        </w:rPr>
        <w:t>通用指标</w:t>
      </w:r>
      <w:r>
        <w:rPr>
          <w:rFonts w:hint="default" w:ascii="Times New Roman" w:hAnsi="Times New Roman" w:eastAsia="楷体_GB2312" w:cs="Times New Roman"/>
          <w:b/>
          <w:color w:val="auto"/>
          <w:sz w:val="32"/>
          <w:szCs w:val="32"/>
          <w:highlight w:val="none"/>
          <w:u w:val="none"/>
          <w:lang w:val="zh-CN"/>
        </w:rPr>
        <w:t>绩效分析。</w:t>
      </w:r>
    </w:p>
    <w:p w14:paraId="2204CB3F">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仿宋_GB2312" w:cs="Times New Roman"/>
          <w:color w:val="auto"/>
          <w:kern w:val="0"/>
          <w:sz w:val="32"/>
          <w:szCs w:val="32"/>
          <w:highlight w:val="none"/>
          <w:u w:val="none"/>
          <w:shd w:val="clear" w:color="auto" w:fill="FFFFFF"/>
          <w:lang w:val="en-US" w:eastAsia="zh-CN"/>
        </w:rPr>
        <w:t>1.项目决策。</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项目决策程序规范，严格遵守三重一大决策程序进行实施</w:t>
      </w:r>
      <w:r>
        <w:rPr>
          <w:rFonts w:hint="default" w:ascii="Times New Roman" w:hAnsi="Times New Roman" w:eastAsia="仿宋_GB2312" w:cs="Times New Roman"/>
          <w:color w:val="auto"/>
          <w:kern w:val="0"/>
          <w:sz w:val="32"/>
          <w:szCs w:val="32"/>
          <w:highlight w:val="none"/>
          <w:u w:val="none"/>
          <w:shd w:val="clear" w:color="auto" w:fill="FFFFFF"/>
          <w:lang w:val="en-US" w:eastAsia="zh-CN"/>
        </w:rPr>
        <w:t>。</w:t>
      </w:r>
    </w:p>
    <w:p w14:paraId="52FC98B5">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仿宋_GB2312" w:cs="Times New Roman"/>
          <w:color w:val="auto"/>
          <w:kern w:val="0"/>
          <w:sz w:val="32"/>
          <w:szCs w:val="32"/>
          <w:highlight w:val="none"/>
          <w:u w:val="none"/>
          <w:shd w:val="clear" w:color="auto" w:fill="FFFFFF"/>
          <w:lang w:val="en-US" w:eastAsia="zh-CN"/>
        </w:rPr>
        <w:t>2.项目管理。</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项目实施过程中严格对项目实施过程进行监督，制定项目实施方案，按时间节点进行实施</w:t>
      </w:r>
      <w:r>
        <w:rPr>
          <w:rFonts w:hint="default" w:ascii="Times New Roman" w:hAnsi="Times New Roman" w:eastAsia="仿宋_GB2312" w:cs="Times New Roman"/>
          <w:color w:val="auto"/>
          <w:kern w:val="0"/>
          <w:sz w:val="32"/>
          <w:szCs w:val="32"/>
          <w:highlight w:val="none"/>
          <w:u w:val="none"/>
          <w:shd w:val="clear" w:color="auto" w:fill="FFFFFF"/>
          <w:lang w:val="en-US" w:eastAsia="zh-CN"/>
        </w:rPr>
        <w:t>。</w:t>
      </w:r>
    </w:p>
    <w:p w14:paraId="1E815298">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仿宋_GB2312" w:cs="Times New Roman"/>
          <w:color w:val="auto"/>
          <w:kern w:val="0"/>
          <w:sz w:val="32"/>
          <w:szCs w:val="32"/>
          <w:highlight w:val="none"/>
          <w:u w:val="none"/>
          <w:shd w:val="clear" w:color="auto" w:fill="FFFFFF"/>
          <w:lang w:val="en-US" w:eastAsia="zh-CN"/>
        </w:rPr>
        <w:t>3.项目实施。</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通过采购形式确定四川旅游学院为项目实施单位，项目资金25.55万元，资金拨付及时，流程规范</w:t>
      </w:r>
      <w:r>
        <w:rPr>
          <w:rFonts w:hint="default" w:ascii="Times New Roman" w:hAnsi="Times New Roman" w:eastAsia="仿宋_GB2312" w:cs="Times New Roman"/>
          <w:color w:val="auto"/>
          <w:kern w:val="0"/>
          <w:sz w:val="32"/>
          <w:szCs w:val="32"/>
          <w:highlight w:val="none"/>
          <w:u w:val="none"/>
          <w:shd w:val="clear" w:color="auto" w:fill="FFFFFF"/>
          <w:lang w:val="en-US" w:eastAsia="zh-CN"/>
        </w:rPr>
        <w:t>。</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资金签订合同后支付70%，17.885万元，验收合格后支付尾款30%，7.665万元。</w:t>
      </w:r>
    </w:p>
    <w:p w14:paraId="4B5B1C36">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仿宋_GB2312" w:cs="Times New Roman"/>
          <w:color w:val="auto"/>
          <w:kern w:val="0"/>
          <w:sz w:val="32"/>
          <w:szCs w:val="32"/>
          <w:highlight w:val="none"/>
          <w:u w:val="none"/>
          <w:shd w:val="clear" w:color="auto" w:fill="FFFFFF"/>
          <w:lang w:val="en-US" w:eastAsia="zh-CN"/>
        </w:rPr>
        <w:t>4.项目结果。</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开发达古冰川沉浸式VR系统1套，包括5个功能模块，安装达古冰川沉浸式系统显示器4台，VR头盔4套，并在景区国家地质公园博物馆投入日常使用。</w:t>
      </w:r>
    </w:p>
    <w:p w14:paraId="62DB0459">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eastAsia="zh-CN"/>
        </w:rPr>
        <w:t>四</w:t>
      </w:r>
      <w:r>
        <w:rPr>
          <w:rFonts w:hint="default" w:ascii="Times New Roman" w:hAnsi="Times New Roman" w:eastAsia="黑体" w:cs="Times New Roman"/>
          <w:color w:val="auto"/>
          <w:sz w:val="32"/>
          <w:szCs w:val="32"/>
          <w:highlight w:val="none"/>
          <w:u w:val="none"/>
        </w:rPr>
        <w:t>、评价结论</w:t>
      </w:r>
    </w:p>
    <w:p w14:paraId="5D268894">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eastAsia" w:ascii="Times New Roman" w:hAnsi="Times New Roman" w:eastAsia="仿宋_GB2312" w:cs="Times New Roman"/>
          <w:color w:val="auto"/>
          <w:kern w:val="0"/>
          <w:sz w:val="32"/>
          <w:szCs w:val="32"/>
          <w:highlight w:val="none"/>
          <w:u w:val="none"/>
          <w:shd w:val="clear" w:color="auto" w:fill="FFFFFF"/>
          <w:lang w:val="en-US" w:eastAsia="zh-CN"/>
        </w:rPr>
        <w:t>该项目的开展将达古冰川景区自然风光、冰川变迁、红色景点、珍惜动植物、藏族建筑等研学内容设计成数字化内容，并集成到VR系统中，游客可以实现交互操作，有效增强游客旅游体验，提高游客旅游体验感和互动参与感。</w:t>
      </w:r>
    </w:p>
    <w:p w14:paraId="2A315A34">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sz w:val="32"/>
          <w:szCs w:val="32"/>
          <w:highlight w:val="none"/>
          <w:u w:val="none"/>
          <w:lang w:eastAsia="zh-CN"/>
        </w:rPr>
      </w:pPr>
      <w:r>
        <w:rPr>
          <w:rFonts w:hint="default" w:ascii="Times New Roman" w:hAnsi="Times New Roman" w:cs="Times New Roman"/>
          <w:color w:val="auto"/>
          <w:sz w:val="32"/>
          <w:szCs w:val="32"/>
          <w:highlight w:val="none"/>
          <w:u w:val="none"/>
          <w:lang w:eastAsia="zh-CN"/>
        </w:rPr>
        <w:t>五、</w:t>
      </w:r>
      <w:r>
        <w:rPr>
          <w:rFonts w:hint="default" w:ascii="Times New Roman" w:hAnsi="Times New Roman" w:eastAsia="黑体" w:cs="Times New Roman"/>
          <w:color w:val="auto"/>
          <w:sz w:val="32"/>
          <w:szCs w:val="32"/>
          <w:highlight w:val="none"/>
          <w:u w:val="none"/>
          <w:lang w:eastAsia="zh-CN"/>
        </w:rPr>
        <w:t>存在主要问题</w:t>
      </w:r>
    </w:p>
    <w:p w14:paraId="50FD90A2">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无</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7839A8AA">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kern w:val="0"/>
          <w:position w:val="3"/>
          <w:sz w:val="32"/>
          <w:szCs w:val="32"/>
          <w:highlight w:val="none"/>
          <w:u w:val="none"/>
          <w:lang w:val="zh-CN" w:eastAsia="zh-CN" w:bidi="ar-SA"/>
        </w:rPr>
      </w:pPr>
      <w:r>
        <w:rPr>
          <w:rFonts w:hint="default" w:ascii="Times New Roman" w:hAnsi="Times New Roman" w:eastAsia="黑体" w:cs="Times New Roman"/>
          <w:color w:val="auto"/>
          <w:kern w:val="0"/>
          <w:position w:val="3"/>
          <w:sz w:val="32"/>
          <w:szCs w:val="32"/>
          <w:highlight w:val="none"/>
          <w:u w:val="none"/>
          <w:lang w:val="zh-CN" w:eastAsia="zh-CN" w:bidi="ar-SA"/>
        </w:rPr>
        <w:t>六、改进建议</w:t>
      </w:r>
    </w:p>
    <w:p w14:paraId="212244B1">
      <w:pPr>
        <w:pageBreakBefore w:val="0"/>
        <w:tabs>
          <w:tab w:val="left" w:pos="1911"/>
        </w:tabs>
        <w:kinsoku/>
        <w:wordWrap/>
        <w:overflowPunct/>
        <w:topLinePunct w:val="0"/>
        <w:bidi w:val="0"/>
        <w:spacing w:line="480" w:lineRule="exact"/>
        <w:ind w:firstLine="640"/>
        <w:jc w:val="left"/>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eastAsia" w:ascii="Times New Roman" w:hAnsi="Times New Roman" w:eastAsia="仿宋_GB2312" w:cs="Times New Roman"/>
          <w:color w:val="auto"/>
          <w:kern w:val="0"/>
          <w:sz w:val="32"/>
          <w:szCs w:val="32"/>
          <w:highlight w:val="none"/>
          <w:u w:val="none"/>
          <w:shd w:val="clear" w:color="auto" w:fill="FFFFFF"/>
          <w:lang w:val="en-US" w:eastAsia="zh-CN"/>
        </w:rPr>
        <w:t>无</w:t>
      </w:r>
      <w:r>
        <w:rPr>
          <w:rFonts w:hint="default" w:ascii="Times New Roman" w:hAnsi="Times New Roman" w:eastAsia="仿宋_GB2312" w:cs="Times New Roman"/>
          <w:color w:val="auto"/>
          <w:kern w:val="0"/>
          <w:sz w:val="32"/>
          <w:szCs w:val="32"/>
          <w:highlight w:val="none"/>
          <w:u w:val="none"/>
          <w:shd w:val="clear" w:color="auto" w:fill="FFFFFF"/>
          <w:lang w:val="en-US" w:eastAsia="zh-CN"/>
        </w:rPr>
        <w:t>。</w:t>
      </w:r>
    </w:p>
    <w:p w14:paraId="27701581">
      <w:pPr>
        <w:pStyle w:val="16"/>
        <w:pageBreakBefore w:val="0"/>
        <w:kinsoku/>
        <w:wordWrap/>
        <w:overflowPunct/>
        <w:topLinePunct w:val="0"/>
        <w:bidi w:val="0"/>
        <w:spacing w:before="0" w:after="0" w:line="480" w:lineRule="exact"/>
        <w:ind w:firstLine="640"/>
        <w:rPr>
          <w:rFonts w:hint="default"/>
          <w:lang w:val="en" w:eastAsia="zh-CN"/>
        </w:rPr>
      </w:pPr>
    </w:p>
    <w:p w14:paraId="1A04A8FD">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default" w:ascii="Times New Roman" w:hAnsi="Times New Roman" w:eastAsia="方正小标宋简体" w:cs="Times New Roman"/>
          <w:color w:val="auto"/>
          <w:kern w:val="2"/>
          <w:sz w:val="44"/>
          <w:szCs w:val="44"/>
          <w:highlight w:val="none"/>
          <w:lang w:val="en-US" w:eastAsia="zh-CN"/>
        </w:rPr>
      </w:pPr>
      <w:r>
        <w:rPr>
          <w:rFonts w:hint="default" w:ascii="Times New Roman" w:hAnsi="Times New Roman" w:eastAsia="方正小标宋简体" w:cs="Times New Roman"/>
          <w:color w:val="auto"/>
          <w:kern w:val="2"/>
          <w:sz w:val="44"/>
          <w:szCs w:val="44"/>
          <w:highlight w:val="none"/>
          <w:lang w:val="en-US" w:eastAsia="zh-CN"/>
        </w:rPr>
        <w:t>阿坝州第八批院士（专家)工作站项目</w:t>
      </w:r>
    </w:p>
    <w:p w14:paraId="1DFEA3F1">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default" w:ascii="Times New Roman" w:hAnsi="Times New Roman" w:eastAsia="方正小标宋简体" w:cs="Times New Roman"/>
          <w:color w:val="auto"/>
          <w:kern w:val="2"/>
          <w:sz w:val="44"/>
          <w:szCs w:val="44"/>
          <w:highlight w:val="none"/>
          <w:lang w:val="en-US" w:eastAsia="zh-CN"/>
        </w:rPr>
      </w:pPr>
      <w:r>
        <w:rPr>
          <w:rFonts w:hint="default" w:ascii="Times New Roman" w:hAnsi="Times New Roman" w:eastAsia="方正小标宋简体" w:cs="Times New Roman"/>
          <w:color w:val="auto"/>
          <w:kern w:val="2"/>
          <w:sz w:val="44"/>
          <w:szCs w:val="44"/>
          <w:highlight w:val="none"/>
          <w:lang w:val="en-US" w:eastAsia="zh-CN"/>
        </w:rPr>
        <w:t>专项预算绩效自评报告</w:t>
      </w:r>
    </w:p>
    <w:p w14:paraId="40D1DE3C">
      <w:pPr>
        <w:pStyle w:val="23"/>
        <w:keepNext w:val="0"/>
        <w:keepLines w:val="0"/>
        <w:pageBreakBefore w:val="0"/>
        <w:widowControl w:val="0"/>
        <w:kinsoku/>
        <w:wordWrap/>
        <w:overflowPunct/>
        <w:topLinePunct w:val="0"/>
        <w:autoSpaceDE/>
        <w:autoSpaceDN/>
        <w:bidi w:val="0"/>
        <w:spacing w:line="480" w:lineRule="exact"/>
        <w:ind w:left="0" w:leftChars="0" w:firstLine="640"/>
        <w:jc w:val="center"/>
        <w:textAlignment w:val="auto"/>
        <w:rPr>
          <w:rFonts w:hint="default" w:ascii="Times New Roman" w:hAnsi="Times New Roman" w:cs="Times New Roman"/>
          <w:color w:val="auto"/>
          <w:kern w:val="2"/>
          <w:sz w:val="32"/>
          <w:szCs w:val="32"/>
          <w:highlight w:val="none"/>
        </w:rPr>
      </w:pPr>
    </w:p>
    <w:p w14:paraId="35537B19">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eastAsia="黑体" w:cs="Times New Roman"/>
          <w:color w:val="auto"/>
          <w:kern w:val="0"/>
          <w:position w:val="3"/>
          <w:sz w:val="32"/>
          <w:szCs w:val="32"/>
          <w:highlight w:val="none"/>
          <w:u w:val="none"/>
          <w:lang w:val="zh-CN" w:eastAsia="zh-CN" w:bidi="ar-SA"/>
        </w:rPr>
      </w:pPr>
      <w:r>
        <w:rPr>
          <w:rFonts w:hint="default" w:ascii="Times New Roman" w:hAnsi="Times New Roman" w:eastAsia="黑体" w:cs="Times New Roman"/>
          <w:color w:val="auto"/>
          <w:kern w:val="0"/>
          <w:position w:val="3"/>
          <w:sz w:val="32"/>
          <w:szCs w:val="32"/>
          <w:highlight w:val="none"/>
          <w:u w:val="none"/>
          <w:lang w:val="zh-CN" w:eastAsia="zh-CN" w:bidi="ar-SA"/>
        </w:rPr>
        <w:t>一、项目概况</w:t>
      </w:r>
    </w:p>
    <w:p w14:paraId="002A4BA8">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3" w:firstLineChars="200"/>
        <w:contextualSpacing/>
        <w:jc w:val="left"/>
        <w:textAlignment w:val="auto"/>
        <w:rPr>
          <w:rFonts w:hint="default" w:ascii="Times New Roman" w:hAnsi="Times New Roman" w:eastAsia="楷体_GB2312" w:cs="Times New Roman"/>
          <w:b/>
          <w:color w:val="auto"/>
          <w:sz w:val="32"/>
          <w:szCs w:val="32"/>
          <w:highlight w:val="none"/>
          <w:u w:val="none"/>
          <w:lang w:val="zh-CN"/>
        </w:rPr>
      </w:pPr>
      <w:r>
        <w:rPr>
          <w:rFonts w:hint="default" w:ascii="Times New Roman" w:hAnsi="Times New Roman" w:eastAsia="楷体_GB2312" w:cs="Times New Roman"/>
          <w:b/>
          <w:color w:val="auto"/>
          <w:sz w:val="32"/>
          <w:szCs w:val="32"/>
          <w:highlight w:val="none"/>
          <w:u w:val="none"/>
          <w:lang w:val="zh-CN"/>
        </w:rPr>
        <w:t>（一）设立背景及基本情况。</w:t>
      </w:r>
    </w:p>
    <w:p w14:paraId="068CE9DA">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eastAsia" w:ascii="Times New Roman" w:hAnsi="Times New Roman" w:eastAsia="仿宋_GB2312" w:cs="Times New Roman"/>
          <w:color w:val="auto"/>
          <w:kern w:val="0"/>
          <w:sz w:val="32"/>
          <w:szCs w:val="32"/>
          <w:highlight w:val="none"/>
          <w:u w:val="none"/>
          <w:shd w:val="clear" w:color="auto" w:fill="FFFFFF"/>
          <w:lang w:val="en-US" w:eastAsia="zh-CN"/>
        </w:rPr>
        <w:t>本项目为阿坝州第八批院士（专家)工作站项目，经费30万元，项目立项后，通过与前期共同申报阿坝州第八批院士（专家)工作和进行专家答辩的中国科学院西北生态环境资源研究院王飞腾老师签订了合作协议。其工作内容为制度建设、团队建设、项目计划三个方面，其中项目内容包括实施人工增雪对减缓冰川消融的效应研究、添加遮盖物对减缓冰川消融的效应研究等。其预期成果包括，一是，聘请5-7名专家入驻达古冰川风景名胜区管理局专家工作站工作，定期或不定期开展相关科研活动，提供各类专业技术指导，为景区创建国家5A级景区、全国生态旅游示范区、冰川彩林国际旅游目的地，建设民族地区高质量发展典范建言献策。二是，发表科研论文2篇以上。三是，打造三大高地，即吸引国内外冰川保护的相关专家来站工作，成为人才汇聚高地；研发冰川保护的关键技术，打造成我国乃至世界的冰川保护技术高地；开展冰川和环保知识的宣讲，成为冰川科普和研学的高地。通过专家工作站，将达古冰川景区打造为中国冰川“保护与开发”相结合、走可持续发展之路的典范。</w:t>
      </w:r>
    </w:p>
    <w:p w14:paraId="2BC2FFA1">
      <w:pPr>
        <w:keepNext w:val="0"/>
        <w:keepLines w:val="0"/>
        <w:pageBreakBefore w:val="0"/>
        <w:numPr>
          <w:ilvl w:val="0"/>
          <w:numId w:val="2"/>
        </w:numPr>
        <w:kinsoku/>
        <w:wordWrap/>
        <w:overflowPunct/>
        <w:topLinePunct w:val="0"/>
        <w:autoSpaceDE/>
        <w:autoSpaceDN/>
        <w:bidi w:val="0"/>
        <w:adjustRightInd w:val="0"/>
        <w:snapToGrid w:val="0"/>
        <w:spacing w:line="480" w:lineRule="exact"/>
        <w:ind w:left="0" w:leftChars="0" w:firstLine="643"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rPr>
      </w:pPr>
      <w:r>
        <w:rPr>
          <w:rFonts w:hint="default" w:ascii="Times New Roman" w:hAnsi="Times New Roman" w:eastAsia="楷体_GB2312" w:cs="Times New Roman"/>
          <w:b/>
          <w:color w:val="auto"/>
          <w:sz w:val="32"/>
          <w:szCs w:val="32"/>
          <w:highlight w:val="none"/>
          <w:u w:val="none"/>
          <w:lang w:val="en-US" w:eastAsia="zh-CN"/>
        </w:rPr>
        <w:t>实施目的及支持方向。</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本项目资金使用严格按照财务管理相关制度实施，项目实施目的为建立达古冰川风景名胜区管理局专家工作站，聘请专家驻站工作，在冰川保护、冰川科普、人才培养等方面助力达古冰川生态旅游高质量发展</w:t>
      </w:r>
      <w:r>
        <w:rPr>
          <w:rFonts w:hint="default" w:ascii="Times New Roman" w:hAnsi="Times New Roman" w:eastAsia="仿宋_GB2312" w:cs="Times New Roman"/>
          <w:color w:val="auto"/>
          <w:kern w:val="0"/>
          <w:sz w:val="32"/>
          <w:szCs w:val="32"/>
          <w:highlight w:val="none"/>
          <w:u w:val="none"/>
          <w:shd w:val="clear" w:color="auto" w:fill="FFFFFF"/>
          <w:lang w:val="zh-CN" w:eastAsia="zh-CN"/>
        </w:rPr>
        <w:t>。</w:t>
      </w:r>
    </w:p>
    <w:p w14:paraId="7E089B84">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3"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楷体_GB2312" w:cs="Times New Roman"/>
          <w:b/>
          <w:color w:val="auto"/>
          <w:sz w:val="32"/>
          <w:szCs w:val="32"/>
          <w:highlight w:val="none"/>
          <w:u w:val="none"/>
          <w:lang w:val="zh-CN" w:eastAsia="zh-CN"/>
        </w:rPr>
        <w:t>（三）</w:t>
      </w:r>
      <w:r>
        <w:rPr>
          <w:rFonts w:hint="default" w:ascii="Times New Roman" w:hAnsi="Times New Roman" w:eastAsia="楷体_GB2312" w:cs="Times New Roman"/>
          <w:b/>
          <w:color w:val="auto"/>
          <w:sz w:val="32"/>
          <w:szCs w:val="32"/>
          <w:highlight w:val="none"/>
          <w:u w:val="none"/>
          <w:lang w:val="en-US" w:eastAsia="zh-CN"/>
        </w:rPr>
        <w:t>预算安排及分配管理</w:t>
      </w:r>
      <w:r>
        <w:rPr>
          <w:rFonts w:hint="default" w:ascii="Times New Roman" w:hAnsi="Times New Roman" w:eastAsia="楷体_GB2312" w:cs="Times New Roman"/>
          <w:b/>
          <w:color w:val="auto"/>
          <w:sz w:val="32"/>
          <w:szCs w:val="32"/>
          <w:highlight w:val="none"/>
          <w:u w:val="none"/>
          <w:lang w:val="zh-CN" w:eastAsia="zh-CN"/>
        </w:rPr>
        <w:t>。</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其经费预算为30万元，经费分配为实验材料费3万元，测试化验加工费2万元，科研业务费：15万元，专家咨询费3万元，人才培养经费7万元。以此确保达古冰川风景名胜区管理局专家工作站正常运行，达到预期建设目标。</w:t>
      </w:r>
    </w:p>
    <w:p w14:paraId="05CC2A95">
      <w:pPr>
        <w:keepNext w:val="0"/>
        <w:keepLines w:val="0"/>
        <w:pageBreakBefore w:val="0"/>
        <w:kinsoku/>
        <w:wordWrap/>
        <w:overflowPunct/>
        <w:topLinePunct w:val="0"/>
        <w:autoSpaceDE/>
        <w:autoSpaceDN/>
        <w:bidi w:val="0"/>
        <w:adjustRightInd w:val="0"/>
        <w:snapToGrid w:val="0"/>
        <w:spacing w:line="480" w:lineRule="exact"/>
        <w:ind w:left="0" w:leftChars="0" w:firstLine="643"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rPr>
      </w:pPr>
      <w:r>
        <w:rPr>
          <w:rFonts w:hint="default" w:ascii="Times New Roman" w:hAnsi="Times New Roman" w:eastAsia="楷体_GB2312" w:cs="Times New Roman"/>
          <w:b/>
          <w:color w:val="auto"/>
          <w:sz w:val="32"/>
          <w:szCs w:val="32"/>
          <w:highlight w:val="none"/>
          <w:u w:val="none"/>
          <w:lang w:val="zh-CN" w:eastAsia="zh-CN"/>
        </w:rPr>
        <w:t>（四）项目绩效目标设置。</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项目立项后，严格按照相关程序进行推动，其项目自评内容为聘请9名专家驻站工作，发表学术论文2篇以上，生态环境得到有效保护，冰川生态得到有效保护，对冰川保护的研究报告满意度达100%，完成时限2年，达古冰川风景名胜区管理局专家工作站建设成本30万元。</w:t>
      </w:r>
    </w:p>
    <w:p w14:paraId="7BEB8ABD">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eastAsia="黑体" w:cs="Times New Roman"/>
          <w:color w:val="auto"/>
          <w:kern w:val="0"/>
          <w:position w:val="3"/>
          <w:sz w:val="32"/>
          <w:szCs w:val="32"/>
          <w:highlight w:val="none"/>
          <w:u w:val="none"/>
          <w:lang w:val="zh-CN" w:eastAsia="zh-CN" w:bidi="ar-SA"/>
        </w:rPr>
      </w:pPr>
      <w:r>
        <w:rPr>
          <w:rFonts w:hint="default" w:ascii="Times New Roman" w:hAnsi="Times New Roman" w:eastAsia="黑体" w:cs="Times New Roman"/>
          <w:color w:val="auto"/>
          <w:kern w:val="0"/>
          <w:position w:val="3"/>
          <w:sz w:val="32"/>
          <w:szCs w:val="32"/>
          <w:highlight w:val="none"/>
          <w:u w:val="none"/>
          <w:lang w:val="zh-CN" w:eastAsia="zh-CN" w:bidi="ar-SA"/>
        </w:rPr>
        <w:t>二、评价实施</w:t>
      </w:r>
    </w:p>
    <w:p w14:paraId="04F1B614">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楷体_GB2312" w:cs="Times New Roman"/>
          <w:b/>
          <w:color w:val="auto"/>
          <w:sz w:val="32"/>
          <w:szCs w:val="32"/>
          <w:highlight w:val="none"/>
          <w:u w:val="none"/>
          <w:lang w:val="zh-CN"/>
        </w:rPr>
        <w:t>（一）评价目的。</w:t>
      </w:r>
      <w:r>
        <w:rPr>
          <w:rFonts w:hint="default" w:ascii="Times New Roman" w:hAnsi="Times New Roman" w:eastAsia="仿宋_GB2312" w:cs="Times New Roman"/>
          <w:color w:val="auto"/>
          <w:kern w:val="0"/>
          <w:sz w:val="32"/>
          <w:szCs w:val="32"/>
          <w:highlight w:val="none"/>
          <w:u w:val="none"/>
          <w:shd w:val="clear" w:color="auto" w:fill="FFFFFF"/>
          <w:lang w:val="en-US" w:eastAsia="zh-CN"/>
        </w:rPr>
        <w:t>通过项目绩效自评</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实现对项目实施过程的监督以及确保项目实施达到预期效果</w:t>
      </w:r>
      <w:r>
        <w:rPr>
          <w:rFonts w:hint="default" w:ascii="Times New Roman" w:hAnsi="Times New Roman" w:eastAsia="仿宋_GB2312" w:cs="Times New Roman"/>
          <w:color w:val="auto"/>
          <w:kern w:val="0"/>
          <w:sz w:val="32"/>
          <w:szCs w:val="32"/>
          <w:highlight w:val="none"/>
          <w:u w:val="none"/>
          <w:shd w:val="clear" w:color="auto" w:fill="FFFFFF"/>
          <w:lang w:val="en-US" w:eastAsia="zh-CN"/>
        </w:rPr>
        <w:t>。</w:t>
      </w:r>
    </w:p>
    <w:p w14:paraId="1F02F30E">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643" w:firstLineChars="20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楷体_GB2312" w:cs="Times New Roman"/>
          <w:b/>
          <w:color w:val="auto"/>
          <w:sz w:val="32"/>
          <w:szCs w:val="32"/>
          <w:highlight w:val="none"/>
          <w:u w:val="none"/>
          <w:lang w:val="zh-CN"/>
        </w:rPr>
        <w:t>（二）预设问题及评价重点。</w:t>
      </w:r>
      <w:r>
        <w:rPr>
          <w:rFonts w:hint="default" w:ascii="Times New Roman" w:hAnsi="Times New Roman" w:eastAsia="仿宋_GB2312" w:cs="Times New Roman"/>
          <w:color w:val="auto"/>
          <w:kern w:val="0"/>
          <w:sz w:val="32"/>
          <w:szCs w:val="32"/>
          <w:highlight w:val="none"/>
          <w:u w:val="none"/>
          <w:shd w:val="clear" w:color="auto" w:fill="FFFFFF"/>
          <w:lang w:val="en-US" w:eastAsia="zh-CN"/>
        </w:rPr>
        <w:t>按照绩效评价指标体系，资金支出使用全过程</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流程规范，其实施效果良好</w:t>
      </w:r>
      <w:r>
        <w:rPr>
          <w:rFonts w:hint="default" w:ascii="Times New Roman" w:hAnsi="Times New Roman" w:eastAsia="仿宋_GB2312" w:cs="Times New Roman"/>
          <w:color w:val="auto"/>
          <w:kern w:val="0"/>
          <w:sz w:val="32"/>
          <w:szCs w:val="32"/>
          <w:highlight w:val="none"/>
          <w:u w:val="none"/>
          <w:shd w:val="clear" w:color="auto" w:fill="FFFFFF"/>
          <w:lang w:val="en-US" w:eastAsia="zh-CN"/>
        </w:rPr>
        <w:t>。</w:t>
      </w:r>
    </w:p>
    <w:p w14:paraId="7A470E13">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643" w:firstLineChars="20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楷体_GB2312" w:cs="Times New Roman"/>
          <w:b/>
          <w:color w:val="auto"/>
          <w:sz w:val="32"/>
          <w:szCs w:val="32"/>
          <w:highlight w:val="none"/>
          <w:u w:val="none"/>
          <w:lang w:val="zh-CN"/>
        </w:rPr>
        <w:t>（三）评价选点。</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本项目开展项目自评。</w:t>
      </w:r>
    </w:p>
    <w:p w14:paraId="2708AAEE">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eastAsia"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楷体_GB2312" w:cs="Times New Roman"/>
          <w:b/>
          <w:color w:val="auto"/>
          <w:sz w:val="32"/>
          <w:szCs w:val="32"/>
          <w:highlight w:val="none"/>
          <w:u w:val="none"/>
          <w:lang w:val="zh-CN"/>
        </w:rPr>
        <w:t>（四）评价方法。</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本项目评价方法为</w:t>
      </w:r>
      <w:r>
        <w:rPr>
          <w:rFonts w:hint="default" w:ascii="Times New Roman" w:hAnsi="Times New Roman" w:eastAsia="仿宋_GB2312" w:cs="Times New Roman"/>
          <w:color w:val="auto"/>
          <w:kern w:val="0"/>
          <w:sz w:val="32"/>
          <w:szCs w:val="32"/>
          <w:highlight w:val="none"/>
          <w:u w:val="none"/>
          <w:shd w:val="clear" w:color="auto" w:fill="FFFFFF"/>
          <w:lang w:val="en-US" w:eastAsia="zh-CN"/>
        </w:rPr>
        <w:t>单位自评法</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w:t>
      </w:r>
    </w:p>
    <w:p w14:paraId="0B6DEFBC">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楷体_GB2312" w:cs="Times New Roman"/>
          <w:b/>
          <w:color w:val="auto"/>
          <w:sz w:val="32"/>
          <w:szCs w:val="32"/>
          <w:highlight w:val="none"/>
          <w:u w:val="none"/>
          <w:lang w:val="zh-CN"/>
        </w:rPr>
        <w:t>（五）评价组织。</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本项目自评组实现分管领导负责制，处室负责同志牵头，负责项目实施过程的全程监督，确保项目按时实施，项目达到预期效果</w:t>
      </w:r>
      <w:r>
        <w:rPr>
          <w:rFonts w:hint="default" w:ascii="Times New Roman" w:hAnsi="Times New Roman" w:eastAsia="仿宋_GB2312" w:cs="Times New Roman"/>
          <w:color w:val="auto"/>
          <w:kern w:val="0"/>
          <w:sz w:val="32"/>
          <w:szCs w:val="32"/>
          <w:highlight w:val="none"/>
          <w:u w:val="none"/>
          <w:shd w:val="clear" w:color="auto" w:fill="FFFFFF"/>
          <w:lang w:val="en-US" w:eastAsia="zh-CN"/>
        </w:rPr>
        <w:t>。</w:t>
      </w:r>
    </w:p>
    <w:p w14:paraId="59130453">
      <w:pPr>
        <w:keepNext w:val="0"/>
        <w:keepLines w:val="0"/>
        <w:pageBreakBefore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cs="Times New Roman"/>
          <w:color w:val="auto"/>
          <w:sz w:val="32"/>
          <w:szCs w:val="32"/>
          <w:highlight w:val="none"/>
          <w:u w:val="none"/>
          <w:lang w:val="zh-CN"/>
        </w:rPr>
      </w:pPr>
      <w:r>
        <w:rPr>
          <w:rFonts w:hint="default" w:ascii="Times New Roman" w:hAnsi="Times New Roman" w:eastAsia="黑体" w:cs="Times New Roman"/>
          <w:color w:val="auto"/>
          <w:sz w:val="32"/>
          <w:szCs w:val="32"/>
          <w:highlight w:val="none"/>
          <w:u w:val="none"/>
        </w:rPr>
        <w:t>三、</w:t>
      </w:r>
      <w:r>
        <w:rPr>
          <w:rFonts w:hint="default" w:ascii="Times New Roman" w:hAnsi="Times New Roman" w:eastAsia="黑体" w:cs="Times New Roman"/>
          <w:color w:val="auto"/>
          <w:sz w:val="32"/>
          <w:szCs w:val="32"/>
          <w:highlight w:val="none"/>
          <w:u w:val="none"/>
          <w:lang w:eastAsia="zh-CN"/>
        </w:rPr>
        <w:t>绩效分析</w:t>
      </w:r>
      <w:r>
        <w:rPr>
          <w:rFonts w:hint="default" w:ascii="Times New Roman" w:hAnsi="Times New Roman" w:cs="Times New Roman"/>
          <w:color w:val="auto"/>
          <w:sz w:val="32"/>
          <w:szCs w:val="32"/>
          <w:highlight w:val="none"/>
          <w:u w:val="none"/>
          <w:lang w:val="zh-CN"/>
        </w:rPr>
        <w:tab/>
      </w:r>
    </w:p>
    <w:p w14:paraId="2AD63316">
      <w:pPr>
        <w:keepNext w:val="0"/>
        <w:keepLines w:val="0"/>
        <w:pageBreakBefore w:val="0"/>
        <w:widowControl w:val="0"/>
        <w:kinsoku/>
        <w:wordWrap/>
        <w:overflowPunct/>
        <w:topLinePunct w:val="0"/>
        <w:autoSpaceDE/>
        <w:autoSpaceDN/>
        <w:bidi w:val="0"/>
        <w:adjustRightInd/>
        <w:snapToGrid/>
        <w:spacing w:line="480" w:lineRule="exact"/>
        <w:ind w:firstLine="640"/>
        <w:textAlignment w:val="auto"/>
        <w:outlineLvl w:val="9"/>
        <w:rPr>
          <w:rFonts w:hint="default" w:ascii="Times New Roman" w:hAnsi="Times New Roman" w:eastAsia="楷体_GB2312" w:cs="Times New Roman"/>
          <w:b/>
          <w:color w:val="auto"/>
          <w:sz w:val="32"/>
          <w:szCs w:val="32"/>
          <w:highlight w:val="none"/>
          <w:u w:val="none"/>
          <w:lang w:val="en-US" w:eastAsia="zh-CN"/>
        </w:rPr>
      </w:pPr>
      <w:r>
        <w:rPr>
          <w:rFonts w:hint="default" w:ascii="Times New Roman" w:hAnsi="Times New Roman" w:eastAsia="楷体_GB2312" w:cs="Times New Roman"/>
          <w:b/>
          <w:color w:val="auto"/>
          <w:sz w:val="32"/>
          <w:szCs w:val="32"/>
          <w:highlight w:val="none"/>
          <w:u w:val="none"/>
          <w:lang w:val="zh-CN"/>
        </w:rPr>
        <w:t>（一）</w:t>
      </w:r>
      <w:r>
        <w:rPr>
          <w:rFonts w:hint="default" w:ascii="Times New Roman" w:hAnsi="Times New Roman" w:eastAsia="楷体_GB2312" w:cs="Times New Roman"/>
          <w:b/>
          <w:color w:val="auto"/>
          <w:sz w:val="32"/>
          <w:szCs w:val="32"/>
          <w:highlight w:val="none"/>
          <w:u w:val="none"/>
          <w:lang w:val="en-US" w:eastAsia="zh-CN"/>
        </w:rPr>
        <w:t>通用指标</w:t>
      </w:r>
      <w:r>
        <w:rPr>
          <w:rFonts w:hint="default" w:ascii="Times New Roman" w:hAnsi="Times New Roman" w:eastAsia="楷体_GB2312" w:cs="Times New Roman"/>
          <w:b/>
          <w:color w:val="auto"/>
          <w:sz w:val="32"/>
          <w:szCs w:val="32"/>
          <w:highlight w:val="none"/>
          <w:u w:val="none"/>
          <w:lang w:val="zh-CN" w:eastAsia="zh-CN"/>
        </w:rPr>
        <w:t>绩效分析。</w:t>
      </w:r>
    </w:p>
    <w:p w14:paraId="13922C92">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仿宋_GB2312" w:cs="Times New Roman"/>
          <w:color w:val="auto"/>
          <w:kern w:val="0"/>
          <w:sz w:val="32"/>
          <w:szCs w:val="32"/>
          <w:highlight w:val="none"/>
          <w:u w:val="none"/>
          <w:shd w:val="clear" w:color="auto" w:fill="FFFFFF"/>
          <w:lang w:val="en-US" w:eastAsia="zh-CN"/>
        </w:rPr>
        <w:t>1.项目决策。</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项目决策程序规范，严格遵守三重一大决策程序进行实施</w:t>
      </w:r>
      <w:r>
        <w:rPr>
          <w:rFonts w:hint="default" w:ascii="Times New Roman" w:hAnsi="Times New Roman" w:eastAsia="仿宋_GB2312" w:cs="Times New Roman"/>
          <w:color w:val="auto"/>
          <w:kern w:val="0"/>
          <w:sz w:val="32"/>
          <w:szCs w:val="32"/>
          <w:highlight w:val="none"/>
          <w:u w:val="none"/>
          <w:shd w:val="clear" w:color="auto" w:fill="FFFFFF"/>
          <w:lang w:val="en-US" w:eastAsia="zh-CN"/>
        </w:rPr>
        <w:t>。</w:t>
      </w:r>
    </w:p>
    <w:p w14:paraId="5E8D77DC">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仿宋_GB2312" w:cs="Times New Roman"/>
          <w:color w:val="auto"/>
          <w:kern w:val="0"/>
          <w:sz w:val="32"/>
          <w:szCs w:val="32"/>
          <w:highlight w:val="none"/>
          <w:u w:val="none"/>
          <w:shd w:val="clear" w:color="auto" w:fill="FFFFFF"/>
          <w:lang w:val="en-US" w:eastAsia="zh-CN"/>
        </w:rPr>
        <w:t>2.项目管理。</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项目实施过程中严格对项目实施过程进行监督，制定项目实施方案，按时间节点进行实施</w:t>
      </w:r>
      <w:r>
        <w:rPr>
          <w:rFonts w:hint="default" w:ascii="Times New Roman" w:hAnsi="Times New Roman" w:eastAsia="仿宋_GB2312" w:cs="Times New Roman"/>
          <w:color w:val="auto"/>
          <w:kern w:val="0"/>
          <w:sz w:val="32"/>
          <w:szCs w:val="32"/>
          <w:highlight w:val="none"/>
          <w:u w:val="none"/>
          <w:shd w:val="clear" w:color="auto" w:fill="FFFFFF"/>
          <w:lang w:val="en-US" w:eastAsia="zh-CN"/>
        </w:rPr>
        <w:t>。</w:t>
      </w:r>
    </w:p>
    <w:p w14:paraId="5711FC82">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仿宋_GB2312" w:cs="Times New Roman"/>
          <w:color w:val="auto"/>
          <w:kern w:val="0"/>
          <w:sz w:val="32"/>
          <w:szCs w:val="32"/>
          <w:highlight w:val="none"/>
          <w:u w:val="none"/>
          <w:shd w:val="clear" w:color="auto" w:fill="FFFFFF"/>
          <w:lang w:val="en-US" w:eastAsia="zh-CN"/>
        </w:rPr>
        <w:t>3.项目实施。</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聘请李忠勤、王飞腾等9名专家驻站工作，成功召开2025达古冰川国际冰川高端学术论坛，来自塔吉克斯坦、吉尔吉斯斯坦等100余名中外专家参与活动，3名院士线上作主题报告，10余名专家作成果交流分享，成功举办“让冰川退烧”达古冰川倡议活动，召开达古冰川保护与可持续发展座谈会，开展2025国际冰川保护年、世界冰川日、冰冻圈科学行动十年达古冰川野外科学考察活动，联合香港纬利开展“让冰川退烧”研学活动，2024年3批次300余人参与，开展达古冰川综合监测工作，完成人工增雪减缓冰川消融模拟研究工作。</w:t>
      </w:r>
    </w:p>
    <w:p w14:paraId="3E4BDAA3">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rPr>
      </w:pPr>
      <w:r>
        <w:rPr>
          <w:rFonts w:hint="default" w:ascii="Times New Roman" w:hAnsi="Times New Roman" w:eastAsia="仿宋_GB2312" w:cs="Times New Roman"/>
          <w:color w:val="auto"/>
          <w:kern w:val="0"/>
          <w:sz w:val="32"/>
          <w:szCs w:val="32"/>
          <w:highlight w:val="none"/>
          <w:u w:val="none"/>
          <w:shd w:val="clear" w:color="auto" w:fill="FFFFFF"/>
          <w:lang w:val="en-US" w:eastAsia="zh-CN"/>
        </w:rPr>
        <w:t>4.项目结果。</w:t>
      </w:r>
      <w:r>
        <w:rPr>
          <w:rFonts w:hint="eastAsia" w:ascii="Times New Roman" w:hAnsi="Times New Roman" w:eastAsia="仿宋_GB2312" w:cs="Times New Roman"/>
          <w:color w:val="auto"/>
          <w:kern w:val="0"/>
          <w:sz w:val="32"/>
          <w:szCs w:val="32"/>
          <w:highlight w:val="none"/>
          <w:u w:val="none"/>
          <w:shd w:val="clear" w:color="auto" w:fill="FFFFFF"/>
          <w:lang w:val="en-US" w:eastAsia="zh-CN"/>
        </w:rPr>
        <w:t>此项目完成研究论文2篇，生态环境得到有效保护，冰川生态得到有效保护。</w:t>
      </w:r>
    </w:p>
    <w:p w14:paraId="6B39EC5B">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eastAsia="zh-CN"/>
        </w:rPr>
        <w:t>四</w:t>
      </w:r>
      <w:r>
        <w:rPr>
          <w:rFonts w:hint="default" w:ascii="Times New Roman" w:hAnsi="Times New Roman" w:eastAsia="黑体" w:cs="Times New Roman"/>
          <w:color w:val="auto"/>
          <w:sz w:val="32"/>
          <w:szCs w:val="32"/>
          <w:highlight w:val="none"/>
          <w:u w:val="none"/>
        </w:rPr>
        <w:t>、评价结论</w:t>
      </w:r>
    </w:p>
    <w:p w14:paraId="34DB6273">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rPr>
      </w:pPr>
      <w:r>
        <w:rPr>
          <w:rFonts w:hint="eastAsia" w:ascii="Times New Roman" w:hAnsi="Times New Roman" w:eastAsia="仿宋_GB2312" w:cs="Times New Roman"/>
          <w:color w:val="auto"/>
          <w:kern w:val="0"/>
          <w:sz w:val="32"/>
          <w:szCs w:val="32"/>
          <w:highlight w:val="none"/>
          <w:u w:val="none"/>
          <w:shd w:val="clear" w:color="auto" w:fill="FFFFFF"/>
          <w:lang w:val="en-US" w:eastAsia="zh-CN"/>
        </w:rPr>
        <w:t>通过聘请专家，召开国际高端学术论坛，推出“让冰川退烧”研学活动等，相关活动先后被央视、湖南卫视、四川卫视等权威媒体报道，有效提升了达古冰川知名度、美誉度和影响力。</w:t>
      </w:r>
    </w:p>
    <w:p w14:paraId="26DB2B7E">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sz w:val="32"/>
          <w:szCs w:val="32"/>
          <w:highlight w:val="none"/>
          <w:u w:val="none"/>
          <w:lang w:eastAsia="zh-CN"/>
        </w:rPr>
      </w:pPr>
      <w:r>
        <w:rPr>
          <w:rFonts w:hint="default" w:ascii="Times New Roman" w:hAnsi="Times New Roman" w:eastAsia="黑体" w:cs="Times New Roman"/>
          <w:color w:val="auto"/>
          <w:sz w:val="32"/>
          <w:szCs w:val="32"/>
          <w:highlight w:val="none"/>
          <w:u w:val="none"/>
          <w:lang w:eastAsia="zh-CN"/>
        </w:rPr>
        <w:t>五、存在主要问题</w:t>
      </w:r>
    </w:p>
    <w:p w14:paraId="0E0BCB4C">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项目资金时间紧凑，项目推进时间周期较长。</w:t>
      </w:r>
    </w:p>
    <w:p w14:paraId="6A244A4A">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kern w:val="0"/>
          <w:position w:val="3"/>
          <w:sz w:val="32"/>
          <w:szCs w:val="32"/>
          <w:highlight w:val="none"/>
          <w:u w:val="none"/>
          <w:lang w:val="zh-CN" w:eastAsia="zh-CN" w:bidi="ar-SA"/>
        </w:rPr>
      </w:pPr>
      <w:r>
        <w:rPr>
          <w:rFonts w:hint="default" w:ascii="Times New Roman" w:hAnsi="Times New Roman" w:eastAsia="黑体" w:cs="Times New Roman"/>
          <w:color w:val="auto"/>
          <w:kern w:val="0"/>
          <w:position w:val="3"/>
          <w:sz w:val="32"/>
          <w:szCs w:val="32"/>
          <w:highlight w:val="none"/>
          <w:u w:val="none"/>
          <w:lang w:val="zh-CN" w:eastAsia="zh-CN" w:bidi="ar-SA"/>
        </w:rPr>
        <w:t>六、改进建议</w:t>
      </w:r>
    </w:p>
    <w:p w14:paraId="717C5FC4">
      <w:pPr>
        <w:pageBreakBefore w:val="0"/>
        <w:tabs>
          <w:tab w:val="left" w:pos="1911"/>
        </w:tabs>
        <w:kinsoku/>
        <w:wordWrap/>
        <w:overflowPunct/>
        <w:topLinePunct w:val="0"/>
        <w:bidi w:val="0"/>
        <w:spacing w:line="480" w:lineRule="exact"/>
        <w:jc w:val="left"/>
        <w:rPr>
          <w:rFonts w:hint="default" w:ascii="Times New Roman" w:hAnsi="Times New Roman" w:eastAsia="仿宋_GB2312" w:cs="Times New Roman"/>
          <w:color w:val="auto"/>
          <w:kern w:val="0"/>
          <w:sz w:val="32"/>
          <w:szCs w:val="32"/>
          <w:highlight w:val="none"/>
          <w:u w:val="none"/>
          <w:shd w:val="clear" w:color="auto" w:fill="FFFFFF"/>
          <w:lang w:val="en" w:eastAsia="zh-CN"/>
        </w:rPr>
      </w:pPr>
      <w:r>
        <w:rPr>
          <w:rFonts w:hint="default" w:ascii="Times New Roman" w:hAnsi="Times New Roman" w:eastAsia="仿宋_GB2312" w:cs="Times New Roman"/>
          <w:color w:val="auto"/>
          <w:kern w:val="0"/>
          <w:sz w:val="32"/>
          <w:szCs w:val="32"/>
          <w:highlight w:val="none"/>
          <w:u w:val="none"/>
          <w:shd w:val="clear" w:color="auto" w:fill="FFFFFF"/>
          <w:lang w:val="zh-CN" w:eastAsia="zh-CN"/>
        </w:rPr>
        <w:t xml:space="preserve"> </w:t>
      </w:r>
      <w:r>
        <w:rPr>
          <w:rFonts w:hint="default" w:ascii="Times New Roman" w:hAnsi="Times New Roman" w:cs="Times New Roman"/>
          <w:b w:val="0"/>
          <w:bCs w:val="0"/>
          <w:kern w:val="0"/>
          <w:position w:val="0"/>
          <w:sz w:val="32"/>
          <w:szCs w:val="32"/>
          <w:highlight w:val="none"/>
          <w:lang w:val="en-US" w:eastAsia="zh-CN" w:bidi="ar-SA"/>
        </w:rPr>
        <w:t xml:space="preserve">   </w:t>
      </w:r>
      <w:r>
        <w:rPr>
          <w:rFonts w:hint="default" w:ascii="Times New Roman" w:hAnsi="Times New Roman" w:eastAsia="仿宋_GB2312" w:cs="Times New Roman"/>
          <w:color w:val="auto"/>
          <w:kern w:val="0"/>
          <w:sz w:val="32"/>
          <w:szCs w:val="32"/>
          <w:highlight w:val="none"/>
          <w:u w:val="none"/>
          <w:shd w:val="clear" w:color="auto" w:fill="FFFFFF"/>
          <w:lang w:val="en-US" w:eastAsia="zh-CN"/>
        </w:rPr>
        <w:t>项目时间实现闭环，确保研究质量，达到预期研究效果。</w:t>
      </w:r>
    </w:p>
    <w:p w14:paraId="6AA7E2BB">
      <w:pPr>
        <w:keepNext w:val="0"/>
        <w:keepLines w:val="0"/>
        <w:pageBreakBefore w:val="0"/>
        <w:kinsoku/>
        <w:wordWrap/>
        <w:overflowPunct/>
        <w:topLinePunct w:val="0"/>
        <w:autoSpaceDE/>
        <w:autoSpaceDN/>
        <w:bidi w:val="0"/>
        <w:adjustRightInd/>
        <w:snapToGrid w:val="0"/>
        <w:spacing w:line="480" w:lineRule="exact"/>
        <w:ind w:left="0" w:leftChars="0" w:firstLine="420" w:firstLineChars="200"/>
        <w:textAlignment w:val="auto"/>
        <w:outlineLvl w:val="9"/>
        <w:rPr>
          <w:rFonts w:hint="default" w:ascii="Times New Roman" w:hAnsi="Times New Roman" w:cs="Times New Roman"/>
          <w:color w:val="000000"/>
          <w:kern w:val="0"/>
          <w:szCs w:val="32"/>
          <w:highlight w:val="none"/>
          <w:shd w:val="clear" w:color="auto" w:fill="FFFFFF"/>
          <w:lang w:val="zh-CN" w:eastAsia="zh-CN"/>
        </w:rPr>
      </w:pPr>
    </w:p>
    <w:p w14:paraId="43E22E11">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default" w:ascii="Times New Roman" w:hAnsi="Times New Roman" w:eastAsia="方正小标宋简体" w:cs="Times New Roman"/>
          <w:color w:val="auto"/>
          <w:kern w:val="2"/>
          <w:sz w:val="44"/>
          <w:szCs w:val="44"/>
          <w:highlight w:val="none"/>
          <w:lang w:val="en-US" w:eastAsia="zh-CN"/>
        </w:rPr>
      </w:pPr>
      <w:r>
        <w:rPr>
          <w:rFonts w:hint="default" w:ascii="Times New Roman" w:hAnsi="Times New Roman" w:eastAsia="方正小标宋简体" w:cs="Times New Roman"/>
          <w:color w:val="auto"/>
          <w:kern w:val="2"/>
          <w:sz w:val="44"/>
          <w:szCs w:val="44"/>
          <w:highlight w:val="none"/>
          <w:lang w:val="en-US" w:eastAsia="zh-CN"/>
        </w:rPr>
        <w:t>大气污染防治及环境空气质量监测经费</w:t>
      </w:r>
    </w:p>
    <w:p w14:paraId="0013DF37">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default" w:ascii="Times New Roman" w:hAnsi="Times New Roman" w:eastAsia="方正小标宋简体" w:cs="Times New Roman"/>
          <w:color w:val="auto"/>
          <w:kern w:val="2"/>
          <w:sz w:val="44"/>
          <w:szCs w:val="44"/>
          <w:highlight w:val="none"/>
          <w:lang w:val="en-US" w:eastAsia="zh-CN"/>
        </w:rPr>
      </w:pPr>
      <w:r>
        <w:rPr>
          <w:rFonts w:hint="default" w:ascii="Times New Roman" w:hAnsi="Times New Roman" w:eastAsia="方正小标宋简体" w:cs="Times New Roman"/>
          <w:color w:val="auto"/>
          <w:kern w:val="2"/>
          <w:sz w:val="44"/>
          <w:szCs w:val="44"/>
          <w:highlight w:val="none"/>
          <w:lang w:val="en-US" w:eastAsia="zh-CN"/>
        </w:rPr>
        <w:t>专项预算绩效自评报告</w:t>
      </w:r>
    </w:p>
    <w:p w14:paraId="4E44C084">
      <w:pPr>
        <w:pStyle w:val="23"/>
        <w:keepNext w:val="0"/>
        <w:keepLines w:val="0"/>
        <w:pageBreakBefore w:val="0"/>
        <w:widowControl w:val="0"/>
        <w:kinsoku/>
        <w:wordWrap/>
        <w:overflowPunct/>
        <w:topLinePunct w:val="0"/>
        <w:autoSpaceDE/>
        <w:autoSpaceDN/>
        <w:bidi w:val="0"/>
        <w:spacing w:line="480" w:lineRule="exact"/>
        <w:ind w:left="0" w:leftChars="0" w:firstLine="640"/>
        <w:jc w:val="center"/>
        <w:textAlignment w:val="auto"/>
        <w:rPr>
          <w:rFonts w:hint="default" w:ascii="Times New Roman" w:hAnsi="Times New Roman" w:cs="Times New Roman"/>
          <w:color w:val="auto"/>
          <w:kern w:val="2"/>
          <w:sz w:val="32"/>
          <w:szCs w:val="32"/>
          <w:highlight w:val="none"/>
        </w:rPr>
      </w:pPr>
    </w:p>
    <w:p w14:paraId="39B72BAA">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黑体" w:cs="Times New Roman"/>
          <w:highlight w:val="none"/>
          <w:lang w:val="zh-CN"/>
        </w:rPr>
      </w:pPr>
      <w:r>
        <w:rPr>
          <w:rFonts w:hint="default" w:ascii="Times New Roman" w:hAnsi="Times New Roman" w:eastAsia="黑体" w:cs="Times New Roman"/>
          <w:highlight w:val="none"/>
        </w:rPr>
        <w:t>一、</w:t>
      </w:r>
      <w:r>
        <w:rPr>
          <w:rFonts w:hint="default" w:ascii="Times New Roman" w:hAnsi="Times New Roman" w:eastAsia="黑体" w:cs="Times New Roman"/>
          <w:highlight w:val="none"/>
          <w:lang w:val="zh-CN"/>
        </w:rPr>
        <w:t>项目概况</w:t>
      </w:r>
    </w:p>
    <w:p w14:paraId="49CB2FD5">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3" w:firstLineChars="200"/>
        <w:contextualSpacing/>
        <w:jc w:val="left"/>
        <w:textAlignment w:val="auto"/>
        <w:rPr>
          <w:rFonts w:hint="default" w:ascii="Times New Roman" w:hAnsi="Times New Roman" w:eastAsia="楷体_GB2312" w:cs="Times New Roman"/>
          <w:b/>
          <w:color w:val="auto"/>
          <w:sz w:val="32"/>
          <w:szCs w:val="32"/>
          <w:highlight w:val="none"/>
          <w:u w:val="none"/>
          <w:lang w:val="zh-CN"/>
        </w:rPr>
      </w:pPr>
      <w:r>
        <w:rPr>
          <w:rFonts w:hint="default" w:ascii="Times New Roman" w:hAnsi="Times New Roman" w:eastAsia="楷体_GB2312" w:cs="Times New Roman"/>
          <w:b/>
          <w:color w:val="auto"/>
          <w:sz w:val="32"/>
          <w:szCs w:val="32"/>
          <w:highlight w:val="none"/>
          <w:u w:val="none"/>
          <w:lang w:val="zh-CN"/>
        </w:rPr>
        <w:t>（一）设立背景及基本情况。</w:t>
      </w:r>
    </w:p>
    <w:p w14:paraId="78A2380C">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本项目为大气污染防治及环境空气质量监测经费，经费30万元，项目立项后，一是，通过采购方式确定中标公司为成都深度精仪电子科技有限公司，其责任处室为科研处，负责监督达古冰川空气站搬迁及运行维护服务项目全过程实施，其中标价格为28.2万元。其工作内容为空气站仪器设备拆卸，仪器检修维护，搬迁损耗材料，15平方米标准空气监测站房建设，站房安装，仪器搬运、仪器安装及仪器调试，防水及防雷监测。二是，景区空气负氧离子监测配套设备升级，预算金额1.8万元，通过采购方式确定中标公司为成都金邦耐环保科技股份有限公司，其责任处室为科研处，负责监督景区空气负氧离子监测设备升级项目实施，其内容包括更换便携式负氧离子检测仪1台，更换负氧离子系统采集板1套，更换显示屏控制主板1套，更换显示屏配电模块2台，开展现场维护1次。以此，全面监测景区生态环境质量各项数据，为景区生态旅游高质量发展提供数据支撑和参考。</w:t>
      </w:r>
    </w:p>
    <w:p w14:paraId="18AA0C93">
      <w:pPr>
        <w:keepNext w:val="0"/>
        <w:keepLines w:val="0"/>
        <w:pageBreakBefore w:val="0"/>
        <w:numPr>
          <w:ilvl w:val="0"/>
          <w:numId w:val="0"/>
        </w:numPr>
        <w:kinsoku/>
        <w:wordWrap/>
        <w:overflowPunct/>
        <w:topLinePunct w:val="0"/>
        <w:autoSpaceDE/>
        <w:autoSpaceDN/>
        <w:bidi w:val="0"/>
        <w:adjustRightInd w:val="0"/>
        <w:snapToGrid w:val="0"/>
        <w:spacing w:line="480" w:lineRule="exact"/>
        <w:ind w:firstLine="643"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eastAsia" w:ascii="Times New Roman" w:hAnsi="Times New Roman" w:eastAsia="楷体_GB2312" w:cs="Times New Roman"/>
          <w:b/>
          <w:color w:val="auto"/>
          <w:sz w:val="32"/>
          <w:szCs w:val="32"/>
          <w:highlight w:val="none"/>
          <w:u w:val="none"/>
          <w:lang w:val="en-US" w:eastAsia="zh-CN"/>
        </w:rPr>
        <w:t>（二）</w:t>
      </w:r>
      <w:r>
        <w:rPr>
          <w:rFonts w:hint="default" w:ascii="Times New Roman" w:hAnsi="Times New Roman" w:eastAsia="楷体_GB2312" w:cs="Times New Roman"/>
          <w:b/>
          <w:color w:val="auto"/>
          <w:sz w:val="32"/>
          <w:szCs w:val="32"/>
          <w:highlight w:val="none"/>
          <w:u w:val="none"/>
          <w:lang w:val="en-US" w:eastAsia="zh-CN"/>
        </w:rPr>
        <w:t>实施目的及支持方向。</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本项目资金使用严格按照财务管理相关制度实施，项目实施目的为全面监测景区生态环境质量各项数据，为景区生态旅游高质量发展提供数据支撑和参考</w:t>
      </w:r>
      <w:r>
        <w:rPr>
          <w:rFonts w:hint="eastAsia" w:eastAsia="仿宋_GB2312" w:cs="Times New Roman"/>
          <w:color w:val="auto"/>
          <w:kern w:val="0"/>
          <w:sz w:val="32"/>
          <w:szCs w:val="32"/>
          <w:highlight w:val="none"/>
          <w:u w:val="none"/>
          <w:shd w:val="clear" w:color="auto" w:fill="FFFFFF"/>
          <w:lang w:val="en-US" w:eastAsia="zh-CN" w:bidi="ar-SA"/>
        </w:rPr>
        <w:t>。</w:t>
      </w:r>
    </w:p>
    <w:p w14:paraId="45BACC9A">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3"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default" w:ascii="Times New Roman" w:hAnsi="Times New Roman" w:eastAsia="楷体_GB2312" w:cs="Times New Roman"/>
          <w:b/>
          <w:color w:val="auto"/>
          <w:sz w:val="32"/>
          <w:szCs w:val="32"/>
          <w:highlight w:val="none"/>
          <w:u w:val="none"/>
          <w:lang w:val="zh-CN" w:eastAsia="zh-CN"/>
        </w:rPr>
        <w:t>（三）</w:t>
      </w:r>
      <w:r>
        <w:rPr>
          <w:rFonts w:hint="default" w:ascii="Times New Roman" w:hAnsi="Times New Roman" w:eastAsia="楷体_GB2312" w:cs="Times New Roman"/>
          <w:b/>
          <w:color w:val="auto"/>
          <w:sz w:val="32"/>
          <w:szCs w:val="32"/>
          <w:highlight w:val="none"/>
          <w:u w:val="none"/>
          <w:lang w:val="en-US" w:eastAsia="zh-CN"/>
        </w:rPr>
        <w:t>预算安排及分配管理</w:t>
      </w:r>
      <w:r>
        <w:rPr>
          <w:rFonts w:hint="default" w:ascii="Times New Roman" w:hAnsi="Times New Roman" w:eastAsia="楷体_GB2312" w:cs="Times New Roman"/>
          <w:b/>
          <w:color w:val="auto"/>
          <w:sz w:val="32"/>
          <w:szCs w:val="32"/>
          <w:highlight w:val="none"/>
          <w:u w:val="none"/>
          <w:lang w:val="zh-CN" w:eastAsia="zh-CN"/>
        </w:rPr>
        <w:t>。</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项目资金预算30万元，达古冰川空气站搬迁及运行维护服务项目28.2万元，景区空气负氧离子监测配套设备升级项目1.8万元。</w:t>
      </w:r>
    </w:p>
    <w:p w14:paraId="744E8E8A">
      <w:pPr>
        <w:keepNext w:val="0"/>
        <w:keepLines w:val="0"/>
        <w:pageBreakBefore w:val="0"/>
        <w:kinsoku/>
        <w:wordWrap/>
        <w:overflowPunct/>
        <w:topLinePunct w:val="0"/>
        <w:autoSpaceDE/>
        <w:autoSpaceDN/>
        <w:bidi w:val="0"/>
        <w:adjustRightInd w:val="0"/>
        <w:snapToGrid w:val="0"/>
        <w:spacing w:line="480" w:lineRule="exact"/>
        <w:ind w:left="0" w:leftChars="0" w:firstLine="643"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default" w:ascii="Times New Roman" w:hAnsi="Times New Roman" w:eastAsia="楷体_GB2312" w:cs="Times New Roman"/>
          <w:b/>
          <w:color w:val="auto"/>
          <w:sz w:val="32"/>
          <w:szCs w:val="32"/>
          <w:highlight w:val="none"/>
          <w:u w:val="none"/>
          <w:lang w:val="zh-CN" w:eastAsia="zh-CN"/>
        </w:rPr>
        <w:t>（四）项目绩效目标设置。</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立项后，严格按照相关程序进行推动，其项目自评内容为建立15平方米标准空气监测站房1个，设备搬迁1项，设备更换1套，设备运行监测率达95%，完成时限1年，长期开展景区空气质量监测，满意度达95%以上，大气污染防治及空气质量监测成本控制在30万元以内。</w:t>
      </w:r>
    </w:p>
    <w:p w14:paraId="4DAC7BC9">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outlineLvl w:val="9"/>
        <w:rPr>
          <w:rFonts w:hint="default" w:ascii="Times New Roman" w:hAnsi="Times New Roman" w:eastAsia="黑体" w:cs="Times New Roman"/>
          <w:highlight w:val="none"/>
          <w:lang w:eastAsia="zh-CN"/>
        </w:rPr>
      </w:pPr>
      <w:r>
        <w:rPr>
          <w:rFonts w:hint="default" w:ascii="Times New Roman" w:hAnsi="Times New Roman" w:eastAsia="黑体" w:cs="Times New Roman"/>
          <w:highlight w:val="none"/>
        </w:rPr>
        <w:t>二、</w:t>
      </w:r>
      <w:r>
        <w:rPr>
          <w:rFonts w:hint="default" w:ascii="Times New Roman" w:hAnsi="Times New Roman" w:eastAsia="黑体" w:cs="Times New Roman"/>
          <w:highlight w:val="none"/>
          <w:lang w:eastAsia="zh-CN"/>
        </w:rPr>
        <w:t>评价实施</w:t>
      </w:r>
    </w:p>
    <w:p w14:paraId="59F5E317">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（一）评价目的。</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通过项目绩效自评</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实现对项目实施过程的监督以及确保项目实施达到预期效果</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696BB110">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643" w:firstLineChars="20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（二）预设问题及评价重点。</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按照绩效评价指标体系，资金支出使用全过程</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流程规范，其实施效果良好</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516B1E7E">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643" w:firstLineChars="20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（三）评价选点。</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本项目开展项目自评。</w:t>
      </w:r>
    </w:p>
    <w:p w14:paraId="5F6E8DC2">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（四）评价方法。</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本项目评价方法为</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单位自评法</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w:t>
      </w:r>
    </w:p>
    <w:p w14:paraId="0C1BFFA1">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（五）评价组织。</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本项目自评组实现分管领导负责制，处室负责同志牵头，负责项目实施过程的全程监督，确保项目按时实施，项目达到预期效果</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7CFD4890">
      <w:pPr>
        <w:keepNext w:val="0"/>
        <w:keepLines w:val="0"/>
        <w:pageBreakBefore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cs="Times New Roman"/>
          <w:color w:val="auto"/>
          <w:sz w:val="32"/>
          <w:szCs w:val="32"/>
          <w:highlight w:val="none"/>
          <w:u w:val="none"/>
          <w:lang w:val="zh-CN"/>
        </w:rPr>
      </w:pPr>
      <w:r>
        <w:rPr>
          <w:rFonts w:hint="default" w:ascii="Times New Roman" w:hAnsi="Times New Roman" w:eastAsia="黑体" w:cs="Times New Roman"/>
          <w:color w:val="auto"/>
          <w:sz w:val="32"/>
          <w:szCs w:val="32"/>
          <w:highlight w:val="none"/>
          <w:u w:val="none"/>
        </w:rPr>
        <w:t>三、</w:t>
      </w:r>
      <w:r>
        <w:rPr>
          <w:rFonts w:hint="default" w:ascii="Times New Roman" w:hAnsi="Times New Roman" w:eastAsia="黑体" w:cs="Times New Roman"/>
          <w:color w:val="auto"/>
          <w:sz w:val="32"/>
          <w:szCs w:val="32"/>
          <w:highlight w:val="none"/>
          <w:u w:val="none"/>
          <w:lang w:eastAsia="zh-CN"/>
        </w:rPr>
        <w:t>绩效分析</w:t>
      </w:r>
      <w:r>
        <w:rPr>
          <w:rFonts w:hint="default" w:ascii="Times New Roman" w:hAnsi="Times New Roman" w:cs="Times New Roman"/>
          <w:color w:val="auto"/>
          <w:sz w:val="32"/>
          <w:szCs w:val="32"/>
          <w:highlight w:val="none"/>
          <w:u w:val="none"/>
          <w:lang w:val="zh-CN"/>
        </w:rPr>
        <w:tab/>
      </w:r>
    </w:p>
    <w:p w14:paraId="6FEB71D1">
      <w:pPr>
        <w:keepNext w:val="0"/>
        <w:keepLines w:val="0"/>
        <w:pageBreakBefore w:val="0"/>
        <w:widowControl w:val="0"/>
        <w:kinsoku/>
        <w:wordWrap/>
        <w:overflowPunct/>
        <w:topLinePunct w:val="0"/>
        <w:autoSpaceDE/>
        <w:autoSpaceDN/>
        <w:bidi w:val="0"/>
        <w:adjustRightInd/>
        <w:snapToGrid/>
        <w:spacing w:line="480" w:lineRule="exact"/>
        <w:ind w:firstLine="640"/>
        <w:textAlignment w:val="auto"/>
        <w:outlineLvl w:val="9"/>
        <w:rPr>
          <w:rFonts w:hint="default" w:ascii="Times New Roman" w:hAnsi="Times New Roman" w:eastAsia="楷体_GB2312" w:cs="Times New Roman"/>
          <w:b/>
          <w:color w:val="auto"/>
          <w:sz w:val="32"/>
          <w:szCs w:val="32"/>
          <w:highlight w:val="none"/>
          <w:u w:val="none"/>
          <w:lang w:val="en-US" w:eastAsia="zh-CN"/>
        </w:rPr>
      </w:pPr>
      <w:r>
        <w:rPr>
          <w:rFonts w:hint="default" w:ascii="Times New Roman" w:hAnsi="Times New Roman" w:eastAsia="楷体_GB2312" w:cs="Times New Roman"/>
          <w:b/>
          <w:color w:val="auto"/>
          <w:sz w:val="32"/>
          <w:szCs w:val="32"/>
          <w:highlight w:val="none"/>
          <w:u w:val="none"/>
          <w:lang w:val="zh-CN"/>
        </w:rPr>
        <w:t>（一）</w:t>
      </w:r>
      <w:r>
        <w:rPr>
          <w:rFonts w:hint="default" w:ascii="Times New Roman" w:hAnsi="Times New Roman" w:eastAsia="楷体_GB2312" w:cs="Times New Roman"/>
          <w:b/>
          <w:color w:val="auto"/>
          <w:sz w:val="32"/>
          <w:szCs w:val="32"/>
          <w:highlight w:val="none"/>
          <w:u w:val="none"/>
          <w:lang w:val="en-US" w:eastAsia="zh-CN"/>
        </w:rPr>
        <w:t>通用指标</w:t>
      </w:r>
      <w:r>
        <w:rPr>
          <w:rFonts w:hint="default" w:ascii="Times New Roman" w:hAnsi="Times New Roman" w:eastAsia="楷体_GB2312" w:cs="Times New Roman"/>
          <w:b/>
          <w:bCs/>
          <w:color w:val="000000"/>
          <w:kern w:val="0"/>
          <w:szCs w:val="32"/>
          <w:highlight w:val="none"/>
          <w:shd w:val="clear" w:color="auto" w:fill="FFFFFF"/>
          <w:lang w:val="zh-CN"/>
        </w:rPr>
        <w:t>绩效分析。</w:t>
      </w:r>
    </w:p>
    <w:p w14:paraId="67C561AE">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1.项目决策。</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项目决策程序规范，严格遵守三重一大决策程序进行实施</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347E95A0">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2.项目管理。</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项目实施过程中严格对项目实施过程进行监督，制定项目实施方案，按时间节点进行实施</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3E7CD121">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3.项目实施。</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通过采购方式确定中标公司为成都深度精仪电子科技有限公司，其责任处室为科研处，负责监督达古冰川空气站搬迁及运行维护服务项目全过程实施，其中标价格为28.2万元。景区空气负氧离子监测配套设备升级，预算金额1.8万元，通过采购方式确定中标公司为成都金邦耐环保科技股份有限公司，其责任处室为科研处，负责监督景区空气负氧离子监测设备升级项目实施。</w:t>
      </w:r>
    </w:p>
    <w:p w14:paraId="01C5F4CC">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4.项目结果。</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达古冰川空气站搬迁及运行维护服务项目，完成15平方米标准空气监测站房建设，设备搬迁1项，设备更换1套，设备运行监测率达95%，完成时限1年，长期开展景区空气质量监测，满意度达95%以上，大气污染防治及空气质量监测成本控制在30万元以内。景区空气负氧离子监测配套设备升级项目，完成更换便携式负氧离子检测仪1台，更换负氧离子系统采集板1套，更换显示屏控制主板1套，更换显示屏配电模块2台，开展现场维护1次。</w:t>
      </w:r>
    </w:p>
    <w:p w14:paraId="7D358E10">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eastAsia="zh-CN"/>
        </w:rPr>
        <w:t>四</w:t>
      </w:r>
      <w:r>
        <w:rPr>
          <w:rFonts w:hint="default" w:ascii="Times New Roman" w:hAnsi="Times New Roman" w:eastAsia="黑体" w:cs="Times New Roman"/>
          <w:color w:val="auto"/>
          <w:sz w:val="32"/>
          <w:szCs w:val="32"/>
          <w:highlight w:val="none"/>
          <w:u w:val="none"/>
        </w:rPr>
        <w:t>、评价结论</w:t>
      </w:r>
    </w:p>
    <w:p w14:paraId="4F6449E4">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0"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通过大气污染防治及环境空气质量监测，有效提升了景区环境质量监测能力和水平，有效保护了景区生态，为景区绿色健康可持续发展提供数据参考和科技支撑。</w:t>
      </w:r>
    </w:p>
    <w:p w14:paraId="55F2391E">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sz w:val="32"/>
          <w:szCs w:val="32"/>
          <w:highlight w:val="none"/>
          <w:u w:val="none"/>
          <w:lang w:eastAsia="zh-CN"/>
        </w:rPr>
      </w:pPr>
      <w:r>
        <w:rPr>
          <w:rFonts w:hint="default" w:ascii="Times New Roman" w:hAnsi="Times New Roman" w:eastAsia="黑体" w:cs="Times New Roman"/>
          <w:color w:val="auto"/>
          <w:sz w:val="32"/>
          <w:szCs w:val="32"/>
          <w:highlight w:val="none"/>
          <w:u w:val="none"/>
          <w:lang w:eastAsia="zh-CN"/>
        </w:rPr>
        <w:t>五、存在主要问题</w:t>
      </w:r>
    </w:p>
    <w:p w14:paraId="0BF263F0">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eastAsia" w:ascii="Times New Roman" w:eastAsia="仿宋_GB2312" w:cs="Times New Roman"/>
          <w:b w:val="0"/>
          <w:bCs w:val="0"/>
          <w:kern w:val="0"/>
          <w:position w:val="0"/>
          <w:sz w:val="32"/>
          <w:szCs w:val="32"/>
          <w:highlight w:val="none"/>
          <w:lang w:val="en-US" w:eastAsia="zh-CN" w:bidi="ar-SA"/>
        </w:rPr>
      </w:pPr>
      <w:r>
        <w:rPr>
          <w:rFonts w:hint="eastAsia" w:ascii="Times New Roman" w:eastAsia="仿宋_GB2312" w:cs="Times New Roman"/>
          <w:b w:val="0"/>
          <w:bCs w:val="0"/>
          <w:kern w:val="0"/>
          <w:position w:val="0"/>
          <w:sz w:val="32"/>
          <w:szCs w:val="32"/>
          <w:highlight w:val="none"/>
          <w:lang w:val="en-US" w:eastAsia="zh-CN" w:bidi="ar-SA"/>
        </w:rPr>
        <w:t>无。</w:t>
      </w:r>
    </w:p>
    <w:p w14:paraId="594FBF08">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kern w:val="0"/>
          <w:position w:val="3"/>
          <w:sz w:val="32"/>
          <w:szCs w:val="32"/>
          <w:highlight w:val="none"/>
          <w:u w:val="none"/>
          <w:lang w:val="zh-CN" w:eastAsia="zh-CN" w:bidi="ar-SA"/>
        </w:rPr>
      </w:pPr>
      <w:r>
        <w:rPr>
          <w:rFonts w:hint="default" w:ascii="Times New Roman" w:hAnsi="Times New Roman" w:eastAsia="黑体" w:cs="Times New Roman"/>
          <w:color w:val="auto"/>
          <w:kern w:val="0"/>
          <w:position w:val="3"/>
          <w:sz w:val="32"/>
          <w:szCs w:val="32"/>
          <w:highlight w:val="none"/>
          <w:u w:val="none"/>
          <w:lang w:val="zh-CN" w:eastAsia="zh-CN" w:bidi="ar-SA"/>
        </w:rPr>
        <w:t>六、改进建议</w:t>
      </w:r>
    </w:p>
    <w:p w14:paraId="6D7E9656">
      <w:pPr>
        <w:keepNext w:val="0"/>
        <w:keepLines w:val="0"/>
        <w:pageBreakBefore w:val="0"/>
        <w:widowControl w:val="0"/>
        <w:kinsoku/>
        <w:wordWrap/>
        <w:overflowPunct/>
        <w:topLinePunct w:val="0"/>
        <w:autoSpaceDE/>
        <w:autoSpaceDN/>
        <w:bidi w:val="0"/>
        <w:spacing w:line="480" w:lineRule="exact"/>
        <w:textAlignment w:val="auto"/>
        <w:outlineLvl w:val="9"/>
        <w:rPr>
          <w:rFonts w:hint="eastAsia" w:cs="Times New Roman"/>
          <w:b w:val="0"/>
          <w:bCs w:val="0"/>
          <w:kern w:val="0"/>
          <w:position w:val="0"/>
          <w:sz w:val="32"/>
          <w:szCs w:val="32"/>
          <w:highlight w:val="none"/>
          <w:lang w:val="en-US" w:eastAsia="zh-CN" w:bidi="ar-SA"/>
        </w:rPr>
      </w:pPr>
      <w:r>
        <w:rPr>
          <w:rFonts w:hint="eastAsia" w:cs="Times New Roman"/>
          <w:b w:val="0"/>
          <w:bCs w:val="0"/>
          <w:kern w:val="0"/>
          <w:position w:val="0"/>
          <w:sz w:val="32"/>
          <w:szCs w:val="32"/>
          <w:highlight w:val="none"/>
          <w:lang w:val="en-US" w:eastAsia="zh-CN" w:bidi="ar-SA"/>
        </w:rPr>
        <w:t>无。</w:t>
      </w:r>
    </w:p>
    <w:p w14:paraId="3279629E">
      <w:pPr>
        <w:pageBreakBefore w:val="0"/>
        <w:kinsoku/>
        <w:wordWrap/>
        <w:overflowPunct/>
        <w:topLinePunct w:val="0"/>
        <w:bidi w:val="0"/>
        <w:spacing w:line="480" w:lineRule="exact"/>
        <w:rPr>
          <w:rFonts w:hint="eastAsia"/>
          <w:lang w:val="en-US" w:eastAsia="zh-CN"/>
        </w:rPr>
      </w:pPr>
    </w:p>
    <w:p w14:paraId="35313A44">
      <w:pPr>
        <w:pageBreakBefore w:val="0"/>
        <w:kinsoku/>
        <w:wordWrap/>
        <w:overflowPunct/>
        <w:topLinePunct w:val="0"/>
        <w:bidi w:val="0"/>
        <w:spacing w:line="480" w:lineRule="exact"/>
        <w:jc w:val="center"/>
        <w:rPr>
          <w:rFonts w:hint="eastAsia" w:eastAsia="方正小标宋简体" w:cs="Times New Roman"/>
          <w:color w:val="auto"/>
          <w:kern w:val="2"/>
          <w:sz w:val="44"/>
          <w:szCs w:val="44"/>
          <w:highlight w:val="none"/>
          <w:lang w:val="en-US" w:eastAsia="zh-CN"/>
        </w:rPr>
      </w:pPr>
      <w:r>
        <w:rPr>
          <w:rFonts w:hint="eastAsia" w:eastAsia="方正小标宋简体" w:cs="Times New Roman"/>
          <w:color w:val="auto"/>
          <w:kern w:val="2"/>
          <w:sz w:val="44"/>
          <w:szCs w:val="44"/>
          <w:highlight w:val="none"/>
          <w:lang w:val="en-US" w:eastAsia="zh-CN"/>
        </w:rPr>
        <w:t>三打古自然保护区生态保护恢复项目</w:t>
      </w:r>
    </w:p>
    <w:p w14:paraId="4D004FAC">
      <w:pPr>
        <w:pageBreakBefore w:val="0"/>
        <w:kinsoku/>
        <w:wordWrap/>
        <w:overflowPunct/>
        <w:topLinePunct w:val="0"/>
        <w:bidi w:val="0"/>
        <w:spacing w:line="480" w:lineRule="exact"/>
        <w:jc w:val="center"/>
      </w:pPr>
      <w:r>
        <w:rPr>
          <w:rFonts w:hint="default" w:ascii="Times New Roman" w:hAnsi="Times New Roman" w:eastAsia="方正小标宋简体" w:cs="Times New Roman"/>
          <w:color w:val="auto"/>
          <w:kern w:val="2"/>
          <w:sz w:val="44"/>
          <w:szCs w:val="44"/>
          <w:highlight w:val="none"/>
          <w:lang w:val="en-US" w:eastAsia="zh-CN"/>
        </w:rPr>
        <w:t>专项预算绩效自评报告</w:t>
      </w:r>
    </w:p>
    <w:p w14:paraId="7E46E93F">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eastAsia="黑体" w:cs="Times New Roman"/>
          <w:color w:val="auto"/>
          <w:kern w:val="0"/>
          <w:sz w:val="32"/>
          <w:szCs w:val="32"/>
          <w:highlight w:val="none"/>
          <w:u w:val="none"/>
          <w:lang w:val="zh-CN" w:eastAsia="zh-CN" w:bidi="ar-SA"/>
        </w:rPr>
      </w:pPr>
      <w:r>
        <w:rPr>
          <w:rFonts w:hint="eastAsia" w:ascii="Times New Roman" w:hAnsi="Times New Roman" w:eastAsia="黑体" w:cs="Times New Roman"/>
          <w:color w:val="auto"/>
          <w:kern w:val="0"/>
          <w:sz w:val="32"/>
          <w:szCs w:val="32"/>
          <w:highlight w:val="none"/>
          <w:u w:val="none"/>
          <w:lang w:val="en-US" w:eastAsia="zh-CN" w:bidi="ar-SA"/>
        </w:rPr>
        <w:t>一、</w:t>
      </w:r>
      <w:r>
        <w:rPr>
          <w:rFonts w:hint="eastAsia" w:ascii="Times New Roman" w:hAnsi="Times New Roman" w:eastAsia="黑体" w:cs="Times New Roman"/>
          <w:color w:val="auto"/>
          <w:kern w:val="0"/>
          <w:sz w:val="32"/>
          <w:szCs w:val="32"/>
          <w:highlight w:val="none"/>
          <w:u w:val="none"/>
          <w:lang w:val="zh-CN" w:eastAsia="zh-CN" w:bidi="ar-SA"/>
        </w:rPr>
        <w:t>项目概况</w:t>
      </w:r>
    </w:p>
    <w:p w14:paraId="0A01306C">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3" w:firstLineChars="200"/>
        <w:contextualSpacing/>
        <w:jc w:val="left"/>
        <w:textAlignment w:val="auto"/>
        <w:rPr>
          <w:rFonts w:hint="eastAsia" w:ascii="仿宋_GB2312" w:hAnsi="仿宋_GB2312" w:eastAsia="仿宋_GB2312" w:cs="仿宋_GB2312"/>
          <w:color w:val="auto"/>
          <w:kern w:val="0"/>
          <w:sz w:val="32"/>
          <w:szCs w:val="32"/>
          <w:highlight w:val="none"/>
          <w:u w:val="none"/>
          <w:shd w:val="clear" w:color="auto" w:fill="FFFFFF"/>
          <w:lang w:val="zh-CN"/>
        </w:rPr>
      </w:pPr>
      <w:r>
        <w:rPr>
          <w:rFonts w:hint="eastAsia" w:ascii="楷体_GB2312" w:hAnsi="宋体" w:eastAsia="楷体_GB2312"/>
          <w:b/>
          <w:color w:val="auto"/>
          <w:sz w:val="32"/>
          <w:szCs w:val="32"/>
          <w:highlight w:val="none"/>
          <w:u w:val="none"/>
          <w:lang w:val="zh-CN"/>
        </w:rPr>
        <w:t>（一）设立背景及基本情况。</w:t>
      </w:r>
    </w:p>
    <w:p w14:paraId="07731C7D">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zh-CN"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三打古保护区严格按照《中华人民共和国测绘法》《中华人民共和国自然保护区条例》《森林和野生动物类型自然保护区管理办法》《财政部 国家林业和草原局关于修订〈林业改革发展资金管理办法〉的通知》（财资环〔2021〕39号）《四川省林业和草原局关于进一步加强全省自然保护区保护管理工作的通知》（川林发〔2022〕23 号）《四川省林业和草原局办公室关于做好2023年自然保护区省级财政生态保护恢复专项资金使用管理的通知》（川林护办〔2023〕80号）《阿坝州财政局  阿坝州林业和草原局关于下达2023年省级财政林业草原生态保护恢复专项资金预算的通知》（阿州财资环〔2023〕27号）等法律法规和文件要求依法依规开展勘界定标和巡护监测设备采购。</w:t>
      </w:r>
    </w:p>
    <w:p w14:paraId="1D17F089">
      <w:pPr>
        <w:keepNext w:val="0"/>
        <w:keepLines w:val="0"/>
        <w:pageBreakBefore w:val="0"/>
        <w:numPr>
          <w:ilvl w:val="0"/>
          <w:numId w:val="3"/>
        </w:numPr>
        <w:kinsoku/>
        <w:wordWrap/>
        <w:overflowPunct/>
        <w:topLinePunct w:val="0"/>
        <w:autoSpaceDE/>
        <w:autoSpaceDN/>
        <w:bidi w:val="0"/>
        <w:adjustRightInd w:val="0"/>
        <w:snapToGrid w:val="0"/>
        <w:spacing w:line="480" w:lineRule="exact"/>
        <w:ind w:left="0" w:leftChars="0" w:firstLine="643" w:firstLineChars="200"/>
        <w:textAlignment w:val="auto"/>
        <w:rPr>
          <w:rFonts w:hint="eastAsia" w:ascii="楷体_GB2312" w:hAnsi="宋体" w:eastAsia="楷体_GB2312" w:cs="Times New Roman"/>
          <w:b/>
          <w:color w:val="auto"/>
          <w:sz w:val="32"/>
          <w:szCs w:val="32"/>
          <w:highlight w:val="none"/>
          <w:u w:val="none"/>
          <w:lang w:val="en-US" w:eastAsia="zh-CN"/>
        </w:rPr>
      </w:pPr>
      <w:r>
        <w:rPr>
          <w:rFonts w:hint="default" w:ascii="楷体_GB2312" w:hAnsi="宋体" w:eastAsia="楷体_GB2312" w:cs="Times New Roman"/>
          <w:b/>
          <w:color w:val="auto"/>
          <w:sz w:val="32"/>
          <w:szCs w:val="32"/>
          <w:highlight w:val="none"/>
          <w:u w:val="none"/>
          <w:lang w:val="en-US" w:eastAsia="zh-CN"/>
        </w:rPr>
        <w:t>实施目的及支持方向</w:t>
      </w:r>
      <w:r>
        <w:rPr>
          <w:rFonts w:hint="eastAsia" w:ascii="楷体_GB2312" w:hAnsi="宋体" w:eastAsia="楷体_GB2312" w:cs="Times New Roman"/>
          <w:b/>
          <w:color w:val="auto"/>
          <w:sz w:val="32"/>
          <w:szCs w:val="32"/>
          <w:highlight w:val="none"/>
          <w:u w:val="none"/>
          <w:lang w:val="en-US" w:eastAsia="zh-CN"/>
        </w:rPr>
        <w:t>。</w:t>
      </w:r>
    </w:p>
    <w:p w14:paraId="5A20F802">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zh-CN"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本项目的实施旨在对自然保护区进行详细的勘界与定标工作，以明确保护区的边界范围，设置科学的标识系统，为保护区管理提供准确的数据支持，并提高保护区巡护监测能力，加强保护区生态环境监测。</w:t>
      </w:r>
    </w:p>
    <w:p w14:paraId="44D308DA">
      <w:pPr>
        <w:keepNext w:val="0"/>
        <w:keepLines w:val="0"/>
        <w:pageBreakBefore w:val="0"/>
        <w:widowControl/>
        <w:numPr>
          <w:ilvl w:val="0"/>
          <w:numId w:val="3"/>
        </w:numPr>
        <w:kinsoku/>
        <w:wordWrap/>
        <w:overflowPunct/>
        <w:topLinePunct w:val="0"/>
        <w:autoSpaceDE/>
        <w:autoSpaceDN/>
        <w:bidi w:val="0"/>
        <w:adjustRightInd w:val="0"/>
        <w:snapToGrid w:val="0"/>
        <w:spacing w:line="480" w:lineRule="exact"/>
        <w:ind w:left="0" w:leftChars="0" w:firstLine="643" w:firstLineChars="200"/>
        <w:contextualSpacing/>
        <w:jc w:val="left"/>
        <w:textAlignment w:val="auto"/>
        <w:rPr>
          <w:rFonts w:hint="eastAsia" w:ascii="楷体_GB2312" w:hAnsi="宋体" w:eastAsia="楷体_GB2312" w:cs="Times New Roman"/>
          <w:b/>
          <w:color w:val="auto"/>
          <w:sz w:val="32"/>
          <w:szCs w:val="32"/>
          <w:highlight w:val="none"/>
          <w:u w:val="none"/>
          <w:lang w:val="zh-CN" w:eastAsia="zh-CN"/>
        </w:rPr>
      </w:pPr>
      <w:r>
        <w:rPr>
          <w:rFonts w:hint="default" w:ascii="楷体_GB2312" w:hAnsi="宋体" w:eastAsia="楷体_GB2312" w:cs="Times New Roman"/>
          <w:b/>
          <w:color w:val="auto"/>
          <w:sz w:val="32"/>
          <w:szCs w:val="32"/>
          <w:highlight w:val="none"/>
          <w:u w:val="none"/>
          <w:lang w:val="en-US" w:eastAsia="zh-CN"/>
        </w:rPr>
        <w:t>预算安排及分配管理</w:t>
      </w:r>
      <w:r>
        <w:rPr>
          <w:rFonts w:hint="eastAsia" w:ascii="楷体_GB2312" w:hAnsi="宋体" w:eastAsia="楷体_GB2312" w:cs="Times New Roman"/>
          <w:b/>
          <w:color w:val="auto"/>
          <w:sz w:val="32"/>
          <w:szCs w:val="32"/>
          <w:highlight w:val="none"/>
          <w:u w:val="none"/>
          <w:lang w:val="zh-CN" w:eastAsia="zh-CN"/>
        </w:rPr>
        <w:t>。</w:t>
      </w:r>
    </w:p>
    <w:p w14:paraId="4D0979F9">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 xml:space="preserve"> 在保护区的区界以及核心区、缓冲区、实验区的边界设立界碑、界桩，确保四至边界明确、界线清晰。在重点地段、关键点设立宣传标牌，起到提醒警示作用。本次专项资金本次勘界因资金有限，只对核心区394.835平方公里做勘测定界，考虑布设天然界桩82个和电子界桩181个，标识暂不布设，待资金落实后可进行后续桩埋设及标识制作等未完成工作。此次勘界定标费用为110万。</w:t>
      </w:r>
    </w:p>
    <w:p w14:paraId="7F7092ED">
      <w:pPr>
        <w:pStyle w:val="10"/>
        <w:keepNext w:val="0"/>
        <w:keepLines w:val="0"/>
        <w:pageBreakBefore w:val="0"/>
        <w:kinsoku/>
        <w:wordWrap/>
        <w:overflowPunct/>
        <w:topLinePunct w:val="0"/>
        <w:bidi w:val="0"/>
        <w:spacing w:before="0" w:line="480" w:lineRule="exact"/>
        <w:ind w:firstLine="640" w:firstLineChars="200"/>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为进一步加强保护区内野生动物监测，提高保护区管理水平，现拟购置全网通4G通讯，自动建立网络连接，灵敏度高、信号接收能力强的红外相机，5000元/台，计划购置10台，费用为5万元。</w:t>
      </w:r>
    </w:p>
    <w:p w14:paraId="4EEC6F1F">
      <w:pPr>
        <w:keepNext w:val="0"/>
        <w:keepLines w:val="0"/>
        <w:pageBreakBefore w:val="0"/>
        <w:numPr>
          <w:ilvl w:val="0"/>
          <w:numId w:val="3"/>
        </w:numPr>
        <w:kinsoku/>
        <w:wordWrap/>
        <w:overflowPunct/>
        <w:topLinePunct w:val="0"/>
        <w:autoSpaceDE/>
        <w:autoSpaceDN/>
        <w:bidi w:val="0"/>
        <w:adjustRightInd w:val="0"/>
        <w:snapToGrid w:val="0"/>
        <w:spacing w:line="480" w:lineRule="exact"/>
        <w:ind w:left="0" w:leftChars="0" w:firstLine="643" w:firstLineChars="200"/>
        <w:textAlignment w:val="auto"/>
        <w:rPr>
          <w:rFonts w:hint="eastAsia" w:ascii="楷体_GB2312" w:hAnsi="宋体" w:eastAsia="楷体_GB2312" w:cs="Times New Roman"/>
          <w:b/>
          <w:color w:val="000000"/>
          <w:sz w:val="32"/>
          <w:szCs w:val="32"/>
          <w:highlight w:val="none"/>
          <w:u w:val="none"/>
          <w:lang w:val="zh-CN" w:eastAsia="zh-CN"/>
        </w:rPr>
      </w:pPr>
      <w:r>
        <w:rPr>
          <w:rFonts w:hint="eastAsia" w:ascii="楷体_GB2312" w:hAnsi="宋体" w:eastAsia="楷体_GB2312" w:cs="Times New Roman"/>
          <w:b/>
          <w:color w:val="000000"/>
          <w:sz w:val="32"/>
          <w:szCs w:val="32"/>
          <w:highlight w:val="none"/>
          <w:u w:val="none"/>
          <w:lang w:val="zh-CN" w:eastAsia="zh-CN"/>
        </w:rPr>
        <w:t>项目绩效目标设置。</w:t>
      </w:r>
    </w:p>
    <w:p w14:paraId="24701633">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通过实施勘界立标工作，进一步校核和确认自然保护地及功能区的边界，明确保护区和功能区范围，进一步提高自然保护地的管理水平和管理效能，目前已完成保护区核心区现场勘测定点，界桩、界碑制作，项目进度90%。</w:t>
      </w:r>
    </w:p>
    <w:p w14:paraId="757EA16E">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outlineLvl w:val="9"/>
        <w:rPr>
          <w:rFonts w:hint="eastAsia" w:ascii="Times New Roman" w:hAnsi="Times New Roman" w:eastAsia="黑体" w:cs="Times New Roman"/>
          <w:color w:val="auto"/>
          <w:kern w:val="0"/>
          <w:sz w:val="32"/>
          <w:szCs w:val="32"/>
          <w:highlight w:val="none"/>
          <w:u w:val="none"/>
          <w:lang w:val="en-US" w:eastAsia="zh-CN" w:bidi="ar-SA"/>
        </w:rPr>
      </w:pPr>
      <w:r>
        <w:rPr>
          <w:rFonts w:hint="eastAsia" w:ascii="Times New Roman" w:hAnsi="Times New Roman" w:eastAsia="黑体" w:cs="Times New Roman"/>
          <w:color w:val="auto"/>
          <w:kern w:val="0"/>
          <w:sz w:val="32"/>
          <w:szCs w:val="32"/>
          <w:highlight w:val="none"/>
          <w:u w:val="none"/>
          <w:lang w:val="en-US" w:eastAsia="zh-CN" w:bidi="ar-SA"/>
        </w:rPr>
        <w:t>二、评价实施</w:t>
      </w:r>
    </w:p>
    <w:p w14:paraId="0FE9C26E">
      <w:pPr>
        <w:keepNext w:val="0"/>
        <w:keepLines w:val="0"/>
        <w:pageBreakBefore w:val="0"/>
        <w:widowControl w:val="0"/>
        <w:kinsoku/>
        <w:wordWrap/>
        <w:overflowPunct/>
        <w:topLinePunct w:val="0"/>
        <w:autoSpaceDE/>
        <w:autoSpaceDN/>
        <w:bidi w:val="0"/>
        <w:spacing w:line="480" w:lineRule="exact"/>
        <w:ind w:firstLine="643" w:firstLineChars="200"/>
        <w:textAlignment w:val="auto"/>
        <w:outlineLvl w:val="9"/>
        <w:rPr>
          <w:rFonts w:hint="eastAsia" w:ascii="楷体_GB2312" w:hAnsi="宋体" w:eastAsia="楷体_GB2312"/>
          <w:b/>
          <w:color w:val="auto"/>
          <w:sz w:val="32"/>
          <w:szCs w:val="32"/>
          <w:highlight w:val="none"/>
          <w:u w:val="none"/>
          <w:lang w:val="zh-CN"/>
        </w:rPr>
      </w:pPr>
      <w:r>
        <w:rPr>
          <w:rFonts w:hint="eastAsia" w:ascii="楷体_GB2312" w:hAnsi="宋体" w:eastAsia="楷体_GB2312"/>
          <w:b/>
          <w:color w:val="auto"/>
          <w:sz w:val="32"/>
          <w:szCs w:val="32"/>
          <w:highlight w:val="none"/>
          <w:u w:val="none"/>
          <w:lang w:val="zh-CN"/>
        </w:rPr>
        <w:t>（一）评价目的。</w:t>
      </w:r>
    </w:p>
    <w:p w14:paraId="0EF8540C">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通过项目绩效自评加快项目进度，进一步加强项目管理和监管，有效推进项目的实施。</w:t>
      </w:r>
    </w:p>
    <w:p w14:paraId="6E864C82">
      <w:pPr>
        <w:keepNext w:val="0"/>
        <w:keepLines w:val="0"/>
        <w:pageBreakBefore w:val="0"/>
        <w:widowControl/>
        <w:numPr>
          <w:ilvl w:val="0"/>
          <w:numId w:val="4"/>
        </w:numPr>
        <w:kinsoku/>
        <w:wordWrap/>
        <w:overflowPunct/>
        <w:topLinePunct w:val="0"/>
        <w:autoSpaceDE/>
        <w:autoSpaceDN/>
        <w:bidi w:val="0"/>
        <w:adjustRightInd w:val="0"/>
        <w:snapToGrid w:val="0"/>
        <w:spacing w:line="480" w:lineRule="exact"/>
        <w:ind w:left="0" w:leftChars="0" w:firstLine="643" w:firstLineChars="200"/>
        <w:contextualSpacing/>
        <w:jc w:val="left"/>
        <w:textAlignment w:val="auto"/>
        <w:rPr>
          <w:rFonts w:hint="eastAsia" w:ascii="楷体_GB2312" w:hAnsi="宋体" w:eastAsia="楷体_GB2312"/>
          <w:b/>
          <w:color w:val="auto"/>
          <w:sz w:val="32"/>
          <w:szCs w:val="32"/>
          <w:highlight w:val="none"/>
          <w:u w:val="none"/>
          <w:lang w:val="zh-CN"/>
        </w:rPr>
      </w:pPr>
      <w:r>
        <w:rPr>
          <w:rFonts w:hint="eastAsia" w:ascii="楷体_GB2312" w:hAnsi="宋体" w:eastAsia="楷体_GB2312"/>
          <w:b/>
          <w:color w:val="auto"/>
          <w:sz w:val="32"/>
          <w:szCs w:val="32"/>
          <w:highlight w:val="none"/>
          <w:u w:val="none"/>
          <w:lang w:val="zh-CN"/>
        </w:rPr>
        <w:t>预设问题及评价重点。</w:t>
      </w:r>
    </w:p>
    <w:p w14:paraId="53FFCD0E">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zh-CN"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zh-CN" w:eastAsia="zh-CN" w:bidi="ar-SA"/>
        </w:rPr>
        <w:t>项目实施财务管理制度健全，严格执行财务管理制度，账务处理及时，会计核算规范等。</w:t>
      </w:r>
    </w:p>
    <w:p w14:paraId="635D6D26">
      <w:pPr>
        <w:keepNext w:val="0"/>
        <w:keepLines w:val="0"/>
        <w:pageBreakBefore w:val="0"/>
        <w:widowControl w:val="0"/>
        <w:kinsoku/>
        <w:wordWrap/>
        <w:overflowPunct/>
        <w:topLinePunct w:val="0"/>
        <w:autoSpaceDE/>
        <w:autoSpaceDN/>
        <w:bidi w:val="0"/>
        <w:spacing w:line="480" w:lineRule="exact"/>
        <w:ind w:firstLine="643" w:firstLineChars="200"/>
        <w:textAlignment w:val="auto"/>
        <w:outlineLvl w:val="9"/>
        <w:rPr>
          <w:rFonts w:hint="eastAsia" w:ascii="楷体_GB2312" w:hAnsi="宋体" w:eastAsia="楷体_GB2312"/>
          <w:b/>
          <w:color w:val="auto"/>
          <w:sz w:val="32"/>
          <w:szCs w:val="32"/>
          <w:highlight w:val="none"/>
          <w:u w:val="none"/>
          <w:lang w:val="zh-CN"/>
        </w:rPr>
      </w:pPr>
      <w:r>
        <w:rPr>
          <w:rFonts w:hint="eastAsia" w:ascii="楷体_GB2312" w:hAnsi="宋体" w:eastAsia="楷体_GB2312"/>
          <w:b/>
          <w:color w:val="auto"/>
          <w:sz w:val="32"/>
          <w:szCs w:val="32"/>
          <w:highlight w:val="none"/>
          <w:u w:val="none"/>
          <w:lang w:val="zh-CN"/>
        </w:rPr>
        <w:t>（三）评价方法。</w:t>
      </w:r>
    </w:p>
    <w:p w14:paraId="2F5DDECB">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单位自评法</w:t>
      </w:r>
    </w:p>
    <w:p w14:paraId="24A85CFB">
      <w:pPr>
        <w:keepNext w:val="0"/>
        <w:keepLines w:val="0"/>
        <w:pageBreakBefore w:val="0"/>
        <w:widowControl w:val="0"/>
        <w:numPr>
          <w:ilvl w:val="0"/>
          <w:numId w:val="4"/>
        </w:numPr>
        <w:kinsoku/>
        <w:wordWrap/>
        <w:overflowPunct/>
        <w:topLinePunct w:val="0"/>
        <w:autoSpaceDE/>
        <w:autoSpaceDN/>
        <w:bidi w:val="0"/>
        <w:spacing w:line="480" w:lineRule="exact"/>
        <w:ind w:left="0" w:leftChars="0" w:firstLine="643" w:firstLineChars="200"/>
        <w:textAlignment w:val="auto"/>
        <w:outlineLvl w:val="9"/>
        <w:rPr>
          <w:rFonts w:hint="eastAsia" w:ascii="楷体_GB2312" w:hAnsi="宋体" w:eastAsia="楷体_GB2312"/>
          <w:b/>
          <w:color w:val="auto"/>
          <w:sz w:val="32"/>
          <w:szCs w:val="32"/>
          <w:highlight w:val="none"/>
          <w:u w:val="none"/>
          <w:lang w:val="zh-CN"/>
        </w:rPr>
      </w:pPr>
      <w:r>
        <w:rPr>
          <w:rFonts w:hint="eastAsia" w:ascii="楷体_GB2312" w:hAnsi="宋体" w:eastAsia="楷体_GB2312"/>
          <w:b/>
          <w:color w:val="auto"/>
          <w:sz w:val="32"/>
          <w:szCs w:val="32"/>
          <w:highlight w:val="none"/>
          <w:u w:val="none"/>
          <w:lang w:val="zh-CN"/>
        </w:rPr>
        <w:t>评价组织。</w:t>
      </w:r>
    </w:p>
    <w:p w14:paraId="782281C8">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cs="Times New Roman"/>
          <w:szCs w:val="32"/>
          <w:lang w:eastAsia="zh-CN"/>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管理局副局长黄仕海，负责统管并领导项目实施，保护处处长黎俊，负责项目具体实施并推进，保护处工作人员徐旭玉，负责项目材料管理。</w:t>
      </w:r>
    </w:p>
    <w:p w14:paraId="314A339B">
      <w:pPr>
        <w:keepNext w:val="0"/>
        <w:keepLines w:val="0"/>
        <w:pageBreakBefore w:val="0"/>
        <w:kinsoku/>
        <w:wordWrap/>
        <w:overflowPunct/>
        <w:topLinePunct w:val="0"/>
        <w:autoSpaceDE/>
        <w:autoSpaceDN/>
        <w:bidi w:val="0"/>
        <w:adjustRightInd w:val="0"/>
        <w:snapToGrid w:val="0"/>
        <w:spacing w:line="480" w:lineRule="exact"/>
        <w:ind w:firstLine="640" w:firstLineChars="200"/>
        <w:textAlignment w:val="auto"/>
        <w:rPr>
          <w:rFonts w:ascii="仿宋_GB2312" w:hAnsi="宋体"/>
          <w:color w:val="auto"/>
          <w:sz w:val="32"/>
          <w:szCs w:val="32"/>
          <w:highlight w:val="none"/>
          <w:u w:val="none"/>
          <w:lang w:val="zh-CN"/>
        </w:rPr>
      </w:pPr>
      <w:r>
        <w:rPr>
          <w:rFonts w:hint="eastAsia" w:ascii="黑体" w:hAnsi="宋体" w:eastAsia="黑体"/>
          <w:color w:val="auto"/>
          <w:sz w:val="32"/>
          <w:szCs w:val="32"/>
          <w:highlight w:val="none"/>
          <w:u w:val="none"/>
        </w:rPr>
        <w:t>三、</w:t>
      </w:r>
      <w:r>
        <w:rPr>
          <w:rFonts w:hint="eastAsia" w:ascii="黑体" w:hAnsi="宋体" w:eastAsia="黑体"/>
          <w:color w:val="auto"/>
          <w:sz w:val="32"/>
          <w:szCs w:val="32"/>
          <w:highlight w:val="none"/>
          <w:u w:val="none"/>
          <w:lang w:eastAsia="zh-CN"/>
        </w:rPr>
        <w:t>绩效分析</w:t>
      </w:r>
      <w:r>
        <w:rPr>
          <w:rFonts w:hint="eastAsia" w:ascii="仿宋_GB2312" w:hAnsi="宋体"/>
          <w:color w:val="auto"/>
          <w:sz w:val="32"/>
          <w:szCs w:val="32"/>
          <w:highlight w:val="none"/>
          <w:u w:val="none"/>
          <w:lang w:val="zh-CN"/>
        </w:rPr>
        <w:tab/>
      </w:r>
    </w:p>
    <w:p w14:paraId="271A4578">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outlineLvl w:val="9"/>
        <w:rPr>
          <w:rFonts w:hint="eastAsia" w:ascii="楷体_GB2312" w:hAnsi="宋体" w:eastAsia="楷体_GB2312" w:cs="Times New Roman"/>
          <w:b/>
          <w:color w:val="auto"/>
          <w:sz w:val="32"/>
          <w:szCs w:val="32"/>
          <w:highlight w:val="none"/>
          <w:u w:val="none"/>
          <w:lang w:val="en-US" w:eastAsia="zh-CN"/>
        </w:rPr>
      </w:pPr>
      <w:r>
        <w:rPr>
          <w:rFonts w:hint="eastAsia" w:ascii="楷体_GB2312" w:hAnsi="宋体" w:eastAsia="楷体_GB2312" w:cs="Times New Roman"/>
          <w:b/>
          <w:color w:val="auto"/>
          <w:sz w:val="32"/>
          <w:szCs w:val="32"/>
          <w:highlight w:val="none"/>
          <w:u w:val="none"/>
          <w:lang w:val="zh-CN"/>
        </w:rPr>
        <w:t>（一）</w:t>
      </w:r>
      <w:r>
        <w:rPr>
          <w:rFonts w:hint="eastAsia" w:ascii="楷体_GB2312" w:hAnsi="宋体" w:eastAsia="楷体_GB2312" w:cs="Times New Roman"/>
          <w:b/>
          <w:color w:val="auto"/>
          <w:sz w:val="32"/>
          <w:szCs w:val="32"/>
          <w:highlight w:val="none"/>
          <w:u w:val="none"/>
          <w:lang w:val="en-US" w:eastAsia="zh-CN"/>
        </w:rPr>
        <w:t>通用指标</w:t>
      </w:r>
      <w:r>
        <w:rPr>
          <w:rFonts w:hint="default" w:ascii="Times New Roman" w:hAnsi="Times New Roman" w:eastAsia="楷体_GB2312" w:cs="Times New Roman"/>
          <w:b/>
          <w:bCs/>
          <w:color w:val="000000"/>
          <w:kern w:val="0"/>
          <w:szCs w:val="32"/>
          <w:highlight w:val="none"/>
          <w:shd w:val="clear" w:color="auto" w:fill="FFFFFF"/>
          <w:lang w:val="zh-CN"/>
        </w:rPr>
        <w:t>绩效分析。</w:t>
      </w:r>
    </w:p>
    <w:p w14:paraId="353925C6">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1.项目决策。</w:t>
      </w:r>
    </w:p>
    <w:p w14:paraId="660F6D7E">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按照《四川省林业和草原局办公室 关于做好2023年自然保护区省级财政生态保护恢复专项资金使用管理工作的通知》（川林护办〔2023〕80号）要求，三打古自然保护区拟开展勘界定标工作，并购置巡护监测设备。三打古自然保护区编制了资金实施方案，方案于8月11日经达古冰川管理局第7次局务会、9月14日第9次党委会研究通过。</w:t>
      </w:r>
    </w:p>
    <w:p w14:paraId="3D875ECC">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2.项目管理。</w:t>
      </w:r>
    </w:p>
    <w:p w14:paraId="02406BBC">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在项目实施过程中，根据工作需要，由管理局成立项目组，由项目组负责组织专业人员参与实施。并在项目执行过程中不断充实和调整项目组，负责制定项目实施的管理办法、规章制度和组织协调，审定项目实施的设计方案，统筹协调工程建设中有关政策、资金使用等重大问题，明确相关职能部门的职责，做到加强领导、统一指挥、分工明确、各司其责，落实工程建设责任主体，为项目实施提供组织保障。同时，加强项目的管理指导和监督，进一步增强责任感和使命感，牢固树立“项目”意识、“责任”意识和“质量”意识。</w:t>
      </w:r>
    </w:p>
    <w:p w14:paraId="1F552F9E">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3.项目实施。</w:t>
      </w:r>
    </w:p>
    <w:p w14:paraId="36145E51">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预算制定合理，资金使用符合规定。在项目实施过程中，严格按照预算计划进行支出，有效控制了成本。同时，加强了资金管理，确保了资金的专款专用和及时支付。通过定期的财务审计和报表编制，确保了资金使用的透明度和合规性。</w:t>
      </w:r>
    </w:p>
    <w:p w14:paraId="6258FE82">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4.项目结果。</w:t>
      </w:r>
    </w:p>
    <w:p w14:paraId="021C7FC0">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目前已完成现场踏勘、实地测量、报告编制、界桩界碑制作，均在计划时限内完成。</w:t>
      </w:r>
    </w:p>
    <w:p w14:paraId="74DBBE32">
      <w:pPr>
        <w:keepNext w:val="0"/>
        <w:keepLines w:val="0"/>
        <w:pageBreakBefore w:val="0"/>
        <w:widowControl w:val="0"/>
        <w:kinsoku/>
        <w:wordWrap/>
        <w:overflowPunct/>
        <w:topLinePunct w:val="0"/>
        <w:autoSpaceDE/>
        <w:autoSpaceDN/>
        <w:bidi w:val="0"/>
        <w:adjustRightInd/>
        <w:snapToGrid/>
        <w:spacing w:line="480" w:lineRule="exact"/>
        <w:ind w:left="0" w:leftChars="0" w:firstLine="640" w:firstLineChars="200"/>
        <w:textAlignment w:val="auto"/>
        <w:outlineLvl w:val="9"/>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黑体" w:cs="Times New Roman"/>
          <w:color w:val="auto"/>
          <w:kern w:val="0"/>
          <w:sz w:val="32"/>
          <w:szCs w:val="32"/>
          <w:highlight w:val="none"/>
          <w:u w:val="none"/>
          <w:lang w:val="zh-CN" w:eastAsia="zh-CN" w:bidi="ar-SA"/>
        </w:rPr>
        <w:t>（二）</w:t>
      </w:r>
      <w:r>
        <w:rPr>
          <w:rFonts w:hint="eastAsia" w:ascii="Times New Roman" w:hAnsi="Times New Roman" w:eastAsia="黑体" w:cs="Times New Roman"/>
          <w:color w:val="auto"/>
          <w:kern w:val="0"/>
          <w:sz w:val="32"/>
          <w:szCs w:val="32"/>
          <w:highlight w:val="none"/>
          <w:u w:val="none"/>
          <w:lang w:val="en-US" w:eastAsia="zh-CN" w:bidi="ar-SA"/>
        </w:rPr>
        <w:t>专用指标</w:t>
      </w:r>
      <w:r>
        <w:rPr>
          <w:rFonts w:hint="default" w:ascii="Times New Roman" w:hAnsi="Times New Roman" w:eastAsia="黑体" w:cs="Times New Roman"/>
          <w:color w:val="auto"/>
          <w:kern w:val="0"/>
          <w:sz w:val="32"/>
          <w:szCs w:val="32"/>
          <w:highlight w:val="none"/>
          <w:u w:val="none"/>
          <w:lang w:val="zh-CN" w:eastAsia="zh-CN" w:bidi="ar-SA"/>
        </w:rPr>
        <w:t>绩效分析。</w:t>
      </w:r>
      <w:r>
        <w:rPr>
          <w:rFonts w:hint="eastAsia" w:ascii="Times New Roman" w:hAnsi="Times New Roman" w:eastAsia="仿宋_GB2312" w:cs="Times New Roman"/>
          <w:color w:val="auto"/>
          <w:kern w:val="0"/>
          <w:sz w:val="32"/>
          <w:szCs w:val="32"/>
          <w:highlight w:val="none"/>
          <w:u w:val="none"/>
          <w:shd w:val="clear" w:color="auto" w:fill="FFFFFF"/>
          <w:lang w:val="zh-CN" w:eastAsia="zh-CN" w:bidi="ar-SA"/>
        </w:rPr>
        <w:t>根据</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专项预算项目资金支持对象选择所属指标进行绩效分析。</w:t>
      </w:r>
    </w:p>
    <w:p w14:paraId="08A40710">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1.基础设施。在建项目围绕工程进度和资金拨付进行绩效分析。</w:t>
      </w:r>
    </w:p>
    <w:p w14:paraId="5125DC62">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由于国家林业和草原局尚未下达最终保护地整合优化方案，以及年底山上积雪严重，施工难度大，目前已完成保护区核心区现场勘测定点、报告编制，项目进度80%。项目资金115万元于2023年7月下达，资金到位及时，资金到位率100%。项目中标金额为112.5万元，目前已支付90万元，支付80%。</w:t>
      </w:r>
    </w:p>
    <w:p w14:paraId="0997E0C7">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zh-CN"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4.</w:t>
      </w:r>
      <w:r>
        <w:rPr>
          <w:rFonts w:hint="eastAsia" w:ascii="Times New Roman" w:hAnsi="Times New Roman" w:eastAsia="仿宋_GB2312" w:cs="Times New Roman"/>
          <w:color w:val="auto"/>
          <w:kern w:val="0"/>
          <w:sz w:val="32"/>
          <w:szCs w:val="32"/>
          <w:highlight w:val="none"/>
          <w:u w:val="none"/>
          <w:shd w:val="clear" w:color="auto" w:fill="FFFFFF"/>
          <w:lang w:val="zh-CN" w:eastAsia="zh-CN" w:bidi="ar-SA"/>
        </w:rPr>
        <w:t>行政运转。</w:t>
      </w:r>
    </w:p>
    <w:p w14:paraId="1D1AF31C">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加强对项目建设实施方案、施工组织（巡护）、检查验收、资金管理等各个环节的监督。建立健全规章制度，层层落实责任，做到层层把关、环环把关、人人把关，切实减少和杜绝违规违纪行为的发生。切实加强对资金使用的监督，严格资金管理和使用，发现问题，立即整改，确保项目实施的管理规范有序。</w:t>
      </w:r>
    </w:p>
    <w:p w14:paraId="7287EA75">
      <w:pPr>
        <w:pStyle w:val="6"/>
        <w:keepNext w:val="0"/>
        <w:keepLines w:val="0"/>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eastAsia" w:ascii="黑体" w:hAnsi="宋体" w:eastAsia="黑体"/>
          <w:color w:val="auto"/>
          <w:sz w:val="32"/>
          <w:szCs w:val="32"/>
          <w:highlight w:val="none"/>
          <w:u w:val="none"/>
        </w:rPr>
      </w:pPr>
      <w:r>
        <w:rPr>
          <w:rFonts w:hint="eastAsia" w:ascii="黑体" w:hAnsi="宋体" w:eastAsia="黑体"/>
          <w:color w:val="auto"/>
          <w:sz w:val="32"/>
          <w:szCs w:val="32"/>
          <w:highlight w:val="none"/>
          <w:u w:val="none"/>
          <w:lang w:eastAsia="zh-CN"/>
        </w:rPr>
        <w:t>四</w:t>
      </w:r>
      <w:r>
        <w:rPr>
          <w:rFonts w:hint="eastAsia" w:ascii="黑体" w:hAnsi="宋体" w:eastAsia="黑体"/>
          <w:color w:val="auto"/>
          <w:sz w:val="32"/>
          <w:szCs w:val="32"/>
          <w:highlight w:val="none"/>
          <w:u w:val="none"/>
        </w:rPr>
        <w:t>、评价结论</w:t>
      </w:r>
    </w:p>
    <w:p w14:paraId="56D3E7EA">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自评得分为91分，本项目在管理制度执行、项目产出评估、预算与资金管理以及社会效应评价等方面均取得了良好的效果。通过本项目的实施，为保护区管理提供了精准的数据支持和管理依据，同时也促进了社会各界对自然保护区保护工作的关注和支持。</w:t>
      </w:r>
    </w:p>
    <w:p w14:paraId="0EC2E554">
      <w:pPr>
        <w:pStyle w:val="6"/>
        <w:keepNext w:val="0"/>
        <w:keepLines w:val="0"/>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eastAsia" w:ascii="黑体" w:hAnsi="宋体" w:eastAsia="黑体" w:cs="Times New Roman"/>
          <w:color w:val="auto"/>
          <w:sz w:val="32"/>
          <w:szCs w:val="32"/>
          <w:highlight w:val="none"/>
          <w:u w:val="none"/>
          <w:lang w:eastAsia="zh-CN"/>
        </w:rPr>
      </w:pPr>
      <w:r>
        <w:rPr>
          <w:rFonts w:hint="eastAsia" w:ascii="黑体" w:hAnsi="宋体" w:cs="Times New Roman"/>
          <w:color w:val="auto"/>
          <w:sz w:val="32"/>
          <w:szCs w:val="32"/>
          <w:highlight w:val="none"/>
          <w:u w:val="none"/>
          <w:lang w:eastAsia="zh-CN"/>
        </w:rPr>
        <w:t>五、</w:t>
      </w:r>
      <w:r>
        <w:rPr>
          <w:rFonts w:hint="eastAsia" w:ascii="黑体" w:hAnsi="宋体" w:eastAsia="黑体" w:cs="Times New Roman"/>
          <w:color w:val="auto"/>
          <w:sz w:val="32"/>
          <w:szCs w:val="32"/>
          <w:highlight w:val="none"/>
          <w:u w:val="none"/>
          <w:lang w:eastAsia="zh-CN"/>
        </w:rPr>
        <w:t>存在主要问题</w:t>
      </w:r>
    </w:p>
    <w:p w14:paraId="036E4657">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zh-CN" w:eastAsia="zh-CN" w:bidi="ar-SA"/>
        </w:rPr>
        <w:t>一是与地方林草部门沟通衔接不够，导致项目施工过程中存在脱节现象；二是由于项目跨年度实施，导致资金拨付进度缓慢；三是在项目实施过程中，项目实施地居民存在阻工现象。</w:t>
      </w:r>
    </w:p>
    <w:p w14:paraId="1949C1D6">
      <w:pPr>
        <w:pStyle w:val="6"/>
        <w:keepNext w:val="0"/>
        <w:keepLines w:val="0"/>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eastAsia" w:ascii="黑体" w:hAnsi="宋体" w:eastAsia="黑体" w:cs="Times New Roman"/>
          <w:color w:val="auto"/>
          <w:kern w:val="0"/>
          <w:position w:val="3"/>
          <w:sz w:val="32"/>
          <w:szCs w:val="32"/>
          <w:highlight w:val="none"/>
          <w:u w:val="none"/>
          <w:lang w:val="zh-CN" w:eastAsia="zh-CN" w:bidi="ar-SA"/>
        </w:rPr>
      </w:pPr>
      <w:r>
        <w:rPr>
          <w:rFonts w:hint="eastAsia" w:ascii="黑体" w:hAnsi="宋体" w:eastAsia="黑体" w:cs="Times New Roman"/>
          <w:color w:val="auto"/>
          <w:kern w:val="0"/>
          <w:position w:val="3"/>
          <w:sz w:val="32"/>
          <w:szCs w:val="32"/>
          <w:highlight w:val="none"/>
          <w:u w:val="none"/>
          <w:lang w:val="zh-CN" w:eastAsia="zh-CN" w:bidi="ar-SA"/>
        </w:rPr>
        <w:t>六、改进建议</w:t>
      </w:r>
    </w:p>
    <w:p w14:paraId="714A9427">
      <w:pPr>
        <w:pStyle w:val="10"/>
        <w:keepNext w:val="0"/>
        <w:keepLines w:val="0"/>
        <w:pageBreakBefore w:val="0"/>
        <w:kinsoku/>
        <w:wordWrap/>
        <w:overflowPunct/>
        <w:topLinePunct w:val="0"/>
        <w:bidi w:val="0"/>
        <w:spacing w:before="0" w:line="480" w:lineRule="exact"/>
        <w:ind w:firstLine="640" w:firstLineChars="200"/>
        <w:jc w:val="left"/>
        <w:textAlignment w:val="auto"/>
        <w:rPr>
          <w:rFonts w:hint="eastAsia" w:ascii="Times New Roman" w:hAnsi="Times New Roman" w:eastAsia="仿宋_GB2312" w:cs="Times New Roman"/>
          <w:color w:val="auto"/>
          <w:kern w:val="0"/>
          <w:sz w:val="32"/>
          <w:szCs w:val="32"/>
          <w:highlight w:val="none"/>
          <w:u w:val="none"/>
          <w:shd w:val="clear" w:color="auto" w:fill="FFFFFF"/>
          <w:lang w:val="en"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首先，保护区应加强与其他相关部门的沟通协调，确保项目的顺利实施。其次，与财政部门沟通协调，加快资金拨付进度。再次，加强与地方政府联系，加强对村民宣传教育。</w:t>
      </w:r>
    </w:p>
    <w:p w14:paraId="2EAB6A9F">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eastAsia" w:ascii="仿宋_GB2312" w:hAnsi="仿宋_GB2312" w:eastAsia="仿宋_GB2312" w:cs="仿宋_GB2312"/>
          <w:b w:val="0"/>
          <w:bCs w:val="0"/>
          <w:color w:val="auto"/>
          <w:kern w:val="2"/>
          <w:sz w:val="44"/>
          <w:szCs w:val="44"/>
          <w:highlight w:val="none"/>
          <w:lang w:val="en-US" w:eastAsia="zh-CN"/>
        </w:rPr>
      </w:pPr>
    </w:p>
    <w:p w14:paraId="6335A2B9">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eastAsia" w:ascii="仿宋_GB2312" w:hAnsi="仿宋_GB2312" w:eastAsia="仿宋_GB2312" w:cs="仿宋_GB2312"/>
          <w:b w:val="0"/>
          <w:bCs w:val="0"/>
          <w:color w:val="auto"/>
          <w:kern w:val="2"/>
          <w:sz w:val="44"/>
          <w:szCs w:val="44"/>
          <w:highlight w:val="none"/>
          <w:lang w:val="en-US" w:eastAsia="zh-CN"/>
        </w:rPr>
      </w:pPr>
      <w:r>
        <w:rPr>
          <w:rFonts w:hint="eastAsia" w:ascii="仿宋_GB2312" w:hAnsi="仿宋_GB2312" w:eastAsia="仿宋_GB2312" w:cs="仿宋_GB2312"/>
          <w:b w:val="0"/>
          <w:bCs w:val="0"/>
          <w:color w:val="auto"/>
          <w:kern w:val="2"/>
          <w:sz w:val="44"/>
          <w:szCs w:val="44"/>
          <w:highlight w:val="none"/>
          <w:lang w:val="en-US" w:eastAsia="zh-CN"/>
        </w:rPr>
        <w:t>数字化指挥系统租赁项目</w:t>
      </w:r>
    </w:p>
    <w:p w14:paraId="50115497">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eastAsia" w:ascii="仿宋_GB2312" w:hAnsi="仿宋_GB2312" w:eastAsia="仿宋_GB2312" w:cs="仿宋_GB2312"/>
          <w:b w:val="0"/>
          <w:bCs w:val="0"/>
          <w:color w:val="auto"/>
          <w:kern w:val="2"/>
          <w:sz w:val="44"/>
          <w:szCs w:val="44"/>
          <w:highlight w:val="none"/>
          <w:lang w:val="en-US" w:eastAsia="zh-CN"/>
        </w:rPr>
      </w:pPr>
      <w:r>
        <w:rPr>
          <w:rFonts w:hint="eastAsia" w:ascii="仿宋_GB2312" w:hAnsi="仿宋_GB2312" w:eastAsia="仿宋_GB2312" w:cs="仿宋_GB2312"/>
          <w:b w:val="0"/>
          <w:bCs w:val="0"/>
          <w:color w:val="auto"/>
          <w:kern w:val="2"/>
          <w:sz w:val="44"/>
          <w:szCs w:val="44"/>
          <w:highlight w:val="none"/>
          <w:lang w:val="en-US" w:eastAsia="zh-CN"/>
        </w:rPr>
        <w:t>预算绩效自评报告</w:t>
      </w:r>
    </w:p>
    <w:p w14:paraId="336D92A2">
      <w:pPr>
        <w:pStyle w:val="23"/>
        <w:keepNext w:val="0"/>
        <w:keepLines w:val="0"/>
        <w:pageBreakBefore w:val="0"/>
        <w:widowControl w:val="0"/>
        <w:kinsoku/>
        <w:wordWrap/>
        <w:overflowPunct/>
        <w:topLinePunct w:val="0"/>
        <w:autoSpaceDE/>
        <w:autoSpaceDN/>
        <w:bidi w:val="0"/>
        <w:spacing w:line="480" w:lineRule="exact"/>
        <w:ind w:left="0" w:leftChars="0" w:firstLine="640"/>
        <w:jc w:val="center"/>
        <w:textAlignment w:val="auto"/>
        <w:rPr>
          <w:rFonts w:hint="default" w:ascii="Times New Roman" w:hAnsi="Times New Roman" w:cs="Times New Roman"/>
          <w:color w:val="auto"/>
          <w:kern w:val="2"/>
          <w:sz w:val="32"/>
          <w:szCs w:val="32"/>
          <w:highlight w:val="none"/>
        </w:rPr>
      </w:pPr>
    </w:p>
    <w:p w14:paraId="4BB8D4B8">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eastAsia="黑体" w:cs="Times New Roman"/>
          <w:color w:val="auto"/>
          <w:kern w:val="0"/>
          <w:sz w:val="32"/>
          <w:szCs w:val="32"/>
          <w:highlight w:val="none"/>
          <w:u w:val="none"/>
          <w:lang w:val="zh-CN" w:eastAsia="zh-CN" w:bidi="ar-SA"/>
        </w:rPr>
      </w:pPr>
      <w:r>
        <w:rPr>
          <w:rFonts w:hint="default" w:ascii="Times New Roman" w:hAnsi="Times New Roman" w:eastAsia="黑体" w:cs="Times New Roman"/>
          <w:color w:val="auto"/>
          <w:kern w:val="0"/>
          <w:sz w:val="32"/>
          <w:szCs w:val="32"/>
          <w:highlight w:val="none"/>
          <w:u w:val="none"/>
          <w:lang w:val="en-US" w:eastAsia="zh-CN" w:bidi="ar-SA"/>
        </w:rPr>
        <w:t>一、</w:t>
      </w:r>
      <w:r>
        <w:rPr>
          <w:rFonts w:hint="default" w:ascii="Times New Roman" w:hAnsi="Times New Roman" w:eastAsia="黑体" w:cs="Times New Roman"/>
          <w:color w:val="auto"/>
          <w:kern w:val="0"/>
          <w:sz w:val="32"/>
          <w:szCs w:val="32"/>
          <w:highlight w:val="none"/>
          <w:u w:val="none"/>
          <w:lang w:val="zh-CN" w:eastAsia="zh-CN" w:bidi="ar-SA"/>
        </w:rPr>
        <w:t>项目概况</w:t>
      </w:r>
    </w:p>
    <w:p w14:paraId="6E425933">
      <w:pPr>
        <w:pStyle w:val="5"/>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default" w:ascii="Times New Roman" w:hAnsi="Times New Roman" w:eastAsia="楷体_GB2312" w:cs="Times New Roman"/>
          <w:b/>
          <w:color w:val="auto"/>
          <w:sz w:val="32"/>
          <w:szCs w:val="32"/>
          <w:highlight w:val="none"/>
          <w:u w:val="none"/>
          <w:lang w:val="zh-CN"/>
        </w:rPr>
        <w:t>（一）设立背景及基本情况。</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为加强风景名胜区保护管理工作，国务院于 2002 年下发了《关于加强城乡规划监督管理的通知》（国发[2002]13 号），明确要求“要抓紧建立全国城乡规划和风景名胜区规划管理动态信息系统，采用现代技术手段，加强对全国城乡规划建设情况的动态监测”。旅游风景区风景秀丽，景色怡人，为大家提供了休闲和娱乐的好场所，但景区还是存在着一些安全隐患，特别是节假日游客人员流量大，车流量多，给景区内的安全防范带来了很大的难度。正是在这样一种紧迫感下，为了给每一个旅游者提供一个美好的休闲娱乐环境，建设一套完善的现代景区视频监控系统成为当务之急。该系统于2015年7月由中国移动通信集团四川有限公司阿坝分公司建成并租赁给管理局使用，租赁期十年，每年租赁费125.5万元。</w:t>
      </w:r>
    </w:p>
    <w:p w14:paraId="695312BF">
      <w:pPr>
        <w:keepNext w:val="0"/>
        <w:keepLines w:val="0"/>
        <w:pageBreakBefore w:val="0"/>
        <w:widowControl w:val="0"/>
        <w:kinsoku/>
        <w:wordWrap/>
        <w:overflowPunct/>
        <w:topLinePunct w:val="0"/>
        <w:autoSpaceDE/>
        <w:autoSpaceDN/>
        <w:bidi w:val="0"/>
        <w:adjustRightInd w:val="0"/>
        <w:snapToGrid w:val="0"/>
        <w:spacing w:line="480" w:lineRule="exact"/>
        <w:ind w:firstLine="720"/>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default" w:ascii="Times New Roman" w:hAnsi="Times New Roman" w:eastAsia="楷体_GB2312" w:cs="Times New Roman"/>
          <w:b/>
          <w:color w:val="auto"/>
          <w:sz w:val="32"/>
          <w:szCs w:val="32"/>
          <w:highlight w:val="none"/>
          <w:u w:val="none"/>
          <w:lang w:val="zh-CN"/>
        </w:rPr>
        <w:t>（二）</w:t>
      </w:r>
      <w:r>
        <w:rPr>
          <w:rFonts w:hint="default" w:ascii="Times New Roman" w:hAnsi="Times New Roman" w:eastAsia="楷体_GB2312" w:cs="Times New Roman"/>
          <w:b/>
          <w:color w:val="auto"/>
          <w:sz w:val="32"/>
          <w:szCs w:val="32"/>
          <w:highlight w:val="none"/>
          <w:u w:val="none"/>
          <w:lang w:val="en-US" w:eastAsia="zh-CN"/>
        </w:rPr>
        <w:t>实施目的及支持方向。</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提供全方位、全天候、高清化、智能化的视频监控系统，满足实时监控、录像回放与下载、电子地图、客流量统计分析、设备远程统一配置和管理，同时监测景区内地质灾害、森林草原防灭火、野生动植物资源及在线营销宣传等“智慧景区”服务功能，提升达古冰川景区管理水平。</w:t>
      </w:r>
    </w:p>
    <w:p w14:paraId="4F16B08C">
      <w:pPr>
        <w:keepNext w:val="0"/>
        <w:keepLines w:val="0"/>
        <w:pageBreakBefore w:val="0"/>
        <w:widowControl w:val="0"/>
        <w:kinsoku/>
        <w:wordWrap/>
        <w:overflowPunct/>
        <w:topLinePunct w:val="0"/>
        <w:autoSpaceDE/>
        <w:autoSpaceDN/>
        <w:bidi w:val="0"/>
        <w:spacing w:line="480" w:lineRule="exact"/>
        <w:ind w:firstLine="643"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default" w:ascii="Times New Roman" w:hAnsi="Times New Roman" w:eastAsia="楷体_GB2312" w:cs="Times New Roman"/>
          <w:b/>
          <w:color w:val="auto"/>
          <w:sz w:val="32"/>
          <w:szCs w:val="32"/>
          <w:highlight w:val="none"/>
          <w:u w:val="none"/>
          <w:lang w:val="zh-CN" w:eastAsia="zh-CN"/>
        </w:rPr>
        <w:t>（三）</w:t>
      </w:r>
      <w:r>
        <w:rPr>
          <w:rFonts w:hint="default" w:ascii="Times New Roman" w:hAnsi="Times New Roman" w:eastAsia="楷体_GB2312" w:cs="Times New Roman"/>
          <w:b/>
          <w:color w:val="auto"/>
          <w:sz w:val="32"/>
          <w:szCs w:val="32"/>
          <w:highlight w:val="none"/>
          <w:u w:val="none"/>
          <w:lang w:val="en-US" w:eastAsia="zh-CN"/>
        </w:rPr>
        <w:t>预算安排及分配管理</w:t>
      </w:r>
      <w:r>
        <w:rPr>
          <w:rFonts w:hint="default" w:ascii="Times New Roman" w:hAnsi="Times New Roman" w:eastAsia="楷体_GB2312" w:cs="Times New Roman"/>
          <w:b/>
          <w:color w:val="auto"/>
          <w:sz w:val="32"/>
          <w:szCs w:val="32"/>
          <w:highlight w:val="none"/>
          <w:u w:val="none"/>
          <w:lang w:val="zh-CN" w:eastAsia="zh-CN"/>
        </w:rPr>
        <w:t>。</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该项目预算总金额为：1255万元整，采用运营商投资建设、运行维护；管理局按租赁形式付款，租赁期十年，每年等额支付租赁费用。</w:t>
      </w:r>
    </w:p>
    <w:p w14:paraId="28EC1829">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default" w:ascii="宋体" w:hAnsi="宋体" w:cs="Times New Roman"/>
          <w:szCs w:val="21"/>
          <w:lang w:val="zh-CN" w:eastAsia="zh-CN"/>
        </w:rPr>
      </w:pPr>
      <w:r>
        <w:rPr>
          <w:rFonts w:hint="default" w:ascii="Times New Roman" w:hAnsi="Times New Roman" w:eastAsia="楷体_GB2312" w:cs="Times New Roman"/>
          <w:b/>
          <w:color w:val="auto"/>
          <w:sz w:val="32"/>
          <w:szCs w:val="32"/>
          <w:highlight w:val="none"/>
          <w:u w:val="none"/>
          <w:lang w:val="zh-CN" w:eastAsia="zh-CN"/>
        </w:rPr>
        <w:t>（四）项目绩效目标设置。</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达古冰川景区运行数字化指挥系统主要建设内容包括智能化视频监控系统、安全防范系统、GIS地理信息系统、GPS车辆调度系统、规划监测系统、森林防火系统、网络在线营销、综合的数字化指挥中心等。同时通过该平台将在珍稀动植物监测、地质灾害监测、自然环境监测等各个方面发挥重要作用</w:t>
      </w:r>
      <w:r>
        <w:rPr>
          <w:rFonts w:hint="eastAsia" w:ascii="宋体" w:hAnsi="宋体" w:cs="Times New Roman"/>
          <w:szCs w:val="21"/>
          <w:lang w:val="en-US" w:eastAsia="zh-CN"/>
        </w:rPr>
        <w:t>。</w:t>
      </w:r>
    </w:p>
    <w:p w14:paraId="34F3DBCA">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eastAsia="黑体" w:cs="Times New Roman"/>
          <w:color w:val="auto"/>
          <w:kern w:val="0"/>
          <w:sz w:val="32"/>
          <w:szCs w:val="32"/>
          <w:highlight w:val="none"/>
          <w:u w:val="none"/>
          <w:lang w:val="zh-CN" w:eastAsia="zh-CN" w:bidi="ar-SA"/>
        </w:rPr>
      </w:pPr>
      <w:r>
        <w:rPr>
          <w:rFonts w:hint="default" w:ascii="Times New Roman" w:hAnsi="Times New Roman" w:eastAsia="黑体" w:cs="Times New Roman"/>
          <w:color w:val="auto"/>
          <w:kern w:val="0"/>
          <w:sz w:val="32"/>
          <w:szCs w:val="32"/>
          <w:highlight w:val="none"/>
          <w:u w:val="none"/>
          <w:lang w:val="zh-CN" w:eastAsia="zh-CN" w:bidi="ar-SA"/>
        </w:rPr>
        <w:t>二、评价实施</w:t>
      </w:r>
    </w:p>
    <w:p w14:paraId="051BBEFF">
      <w:pPr>
        <w:keepNext w:val="0"/>
        <w:keepLines w:val="0"/>
        <w:pageBreakBefore w:val="0"/>
        <w:kinsoku/>
        <w:wordWrap/>
        <w:overflowPunct/>
        <w:topLinePunct w:val="0"/>
        <w:autoSpaceDE/>
        <w:autoSpaceDN/>
        <w:bidi w:val="0"/>
        <w:adjustRightInd w:val="0"/>
        <w:snapToGrid w:val="0"/>
        <w:spacing w:line="480" w:lineRule="exact"/>
        <w:ind w:left="0" w:leftChars="0" w:firstLine="643"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（一）评价目的。</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实现全方位、全天候、珍稀动植物监测、地质灾害监测、自然环境监测，实现景区客流量统计分析和车辆调度的需求。</w:t>
      </w:r>
    </w:p>
    <w:p w14:paraId="61447BFD">
      <w:pPr>
        <w:keepNext w:val="0"/>
        <w:keepLines w:val="0"/>
        <w:pageBreakBefore w:val="0"/>
        <w:widowControl w:val="0"/>
        <w:numPr>
          <w:ilvl w:val="0"/>
          <w:numId w:val="0"/>
        </w:numPr>
        <w:kinsoku/>
        <w:wordWrap/>
        <w:overflowPunct/>
        <w:topLinePunct w:val="0"/>
        <w:autoSpaceDE/>
        <w:autoSpaceDN/>
        <w:bidi w:val="0"/>
        <w:adjustRightInd w:val="0"/>
        <w:snapToGrid w:val="0"/>
        <w:spacing w:line="480" w:lineRule="exact"/>
        <w:ind w:firstLine="643"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（二）预设问题及评价重点。</w:t>
      </w:r>
      <w:r>
        <w:rPr>
          <w:rFonts w:hint="eastAsia" w:ascii="宋体" w:hAnsi="宋体" w:cs="Times New Roman"/>
          <w:szCs w:val="21"/>
          <w:lang w:val="en-US" w:eastAsia="zh-CN"/>
        </w:rPr>
        <w:t>2</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024年资金</w:t>
      </w:r>
      <w:r>
        <w:rPr>
          <w:rFonts w:hint="eastAsia" w:ascii="Times New Roman" w:hAnsi="Times New Roman" w:eastAsia="仿宋_GB2312" w:cs="Times New Roman"/>
          <w:color w:val="auto"/>
          <w:kern w:val="0"/>
          <w:sz w:val="32"/>
          <w:szCs w:val="32"/>
          <w:highlight w:val="none"/>
          <w:u w:val="none"/>
          <w:shd w:val="clear" w:color="auto" w:fill="FFFFFF"/>
          <w:lang w:val="zh-CN" w:eastAsia="zh-CN" w:bidi="ar-SA"/>
        </w:rPr>
        <w:t>实际支出</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125.5</w:t>
      </w:r>
      <w:r>
        <w:rPr>
          <w:rFonts w:hint="eastAsia" w:ascii="Times New Roman" w:hAnsi="Times New Roman" w:eastAsia="仿宋_GB2312" w:cs="Times New Roman"/>
          <w:color w:val="auto"/>
          <w:kern w:val="0"/>
          <w:sz w:val="32"/>
          <w:szCs w:val="32"/>
          <w:highlight w:val="none"/>
          <w:u w:val="none"/>
          <w:shd w:val="clear" w:color="auto" w:fill="FFFFFF"/>
          <w:lang w:val="zh-CN" w:eastAsia="zh-CN" w:bidi="ar-SA"/>
        </w:rPr>
        <w:t>万元，资金使用率</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100</w:t>
      </w:r>
      <w:r>
        <w:rPr>
          <w:rFonts w:hint="eastAsia" w:ascii="Times New Roman" w:hAnsi="Times New Roman" w:eastAsia="仿宋_GB2312" w:cs="Times New Roman"/>
          <w:color w:val="auto"/>
          <w:kern w:val="0"/>
          <w:sz w:val="32"/>
          <w:szCs w:val="32"/>
          <w:highlight w:val="none"/>
          <w:u w:val="none"/>
          <w:shd w:val="clear" w:color="auto" w:fill="FFFFFF"/>
          <w:lang w:val="zh-CN" w:eastAsia="zh-CN" w:bidi="ar-SA"/>
        </w:rPr>
        <w:t>%</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，资金按合同约定分两次支付。</w:t>
      </w:r>
    </w:p>
    <w:p w14:paraId="6E40AE6E">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643" w:firstLineChars="20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default" w:ascii="Times New Roman" w:hAnsi="Times New Roman" w:eastAsia="楷体_GB2312" w:cs="Times New Roman"/>
          <w:b/>
          <w:color w:val="auto"/>
          <w:sz w:val="32"/>
          <w:szCs w:val="32"/>
          <w:highlight w:val="none"/>
          <w:u w:val="none"/>
          <w:lang w:val="zh-CN"/>
        </w:rPr>
        <w:t>（三）评价选点。</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对景区珍稀动植物监测、地质灾害监测、自然环境监、客流量统计分析和车辆调度进行实时监测。</w:t>
      </w:r>
    </w:p>
    <w:p w14:paraId="77591447">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eastAsia" w:ascii="宋体" w:hAnsi="宋体" w:cs="Times New Roman"/>
          <w:szCs w:val="21"/>
          <w:lang w:val="zh-CN" w:eastAsia="zh-CN"/>
        </w:rPr>
      </w:pPr>
      <w:r>
        <w:rPr>
          <w:rFonts w:hint="default" w:ascii="Times New Roman" w:hAnsi="Times New Roman" w:eastAsia="楷体_GB2312" w:cs="Times New Roman"/>
          <w:b/>
          <w:color w:val="auto"/>
          <w:sz w:val="32"/>
          <w:szCs w:val="32"/>
          <w:highlight w:val="none"/>
          <w:u w:val="none"/>
          <w:lang w:val="zh-CN"/>
        </w:rPr>
        <w:t>（四）评价方法。</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以租赁方式供管理局使用，管理局派出专人负责通过日常巡查、监测，及时发现相关问题(如：摄像头在线情况，电缆、光缆有无断点，摄像头是否偏离预期监控区，监控服务器有无问题，以及账户控制，手机APP运行是否正常等)，发现问题即刻联系维护单位处理以保障系统正常运行，达到了预期使用效果。</w:t>
      </w:r>
    </w:p>
    <w:p w14:paraId="18E715E8">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（五）评价组织。</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管理局信息中心</w:t>
      </w:r>
    </w:p>
    <w:p w14:paraId="533F83B7">
      <w:pPr>
        <w:keepNext w:val="0"/>
        <w:keepLines w:val="0"/>
        <w:pageBreakBefore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cs="Times New Roman"/>
          <w:color w:val="auto"/>
          <w:sz w:val="32"/>
          <w:szCs w:val="32"/>
          <w:highlight w:val="none"/>
          <w:u w:val="none"/>
          <w:lang w:val="zh-CN"/>
        </w:rPr>
      </w:pPr>
      <w:r>
        <w:rPr>
          <w:rFonts w:hint="default" w:ascii="Times New Roman" w:hAnsi="Times New Roman" w:eastAsia="黑体" w:cs="Times New Roman"/>
          <w:color w:val="auto"/>
          <w:sz w:val="32"/>
          <w:szCs w:val="32"/>
          <w:highlight w:val="none"/>
          <w:u w:val="none"/>
        </w:rPr>
        <w:t>三、</w:t>
      </w:r>
      <w:r>
        <w:rPr>
          <w:rFonts w:hint="default" w:ascii="Times New Roman" w:hAnsi="Times New Roman" w:eastAsia="黑体" w:cs="Times New Roman"/>
          <w:color w:val="auto"/>
          <w:sz w:val="32"/>
          <w:szCs w:val="32"/>
          <w:highlight w:val="none"/>
          <w:u w:val="none"/>
          <w:lang w:eastAsia="zh-CN"/>
        </w:rPr>
        <w:t>绩效分析</w:t>
      </w:r>
      <w:r>
        <w:rPr>
          <w:rFonts w:hint="default" w:ascii="Times New Roman" w:hAnsi="Times New Roman" w:cs="Times New Roman"/>
          <w:color w:val="auto"/>
          <w:sz w:val="32"/>
          <w:szCs w:val="32"/>
          <w:highlight w:val="none"/>
          <w:u w:val="none"/>
          <w:lang w:val="zh-CN"/>
        </w:rPr>
        <w:tab/>
      </w:r>
    </w:p>
    <w:p w14:paraId="22FB2FEB">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t>根据项目预算绩效评价指标体系“通用指标”“专用指标”“个性指标”涉及二、三级指标进行逐项绩效分析并评分</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00476D3B">
      <w:pPr>
        <w:keepNext w:val="0"/>
        <w:keepLines w:val="0"/>
        <w:pageBreakBefore w:val="0"/>
        <w:widowControl w:val="0"/>
        <w:kinsoku/>
        <w:wordWrap/>
        <w:overflowPunct/>
        <w:topLinePunct w:val="0"/>
        <w:autoSpaceDE/>
        <w:autoSpaceDN/>
        <w:bidi w:val="0"/>
        <w:adjustRightInd/>
        <w:snapToGrid/>
        <w:spacing w:line="480" w:lineRule="exact"/>
        <w:ind w:firstLine="640"/>
        <w:textAlignment w:val="auto"/>
        <w:outlineLvl w:val="9"/>
        <w:rPr>
          <w:rFonts w:hint="default" w:ascii="Times New Roman" w:hAnsi="Times New Roman" w:eastAsia="楷体_GB2312" w:cs="Times New Roman"/>
          <w:b/>
          <w:color w:val="auto"/>
          <w:sz w:val="32"/>
          <w:szCs w:val="32"/>
          <w:highlight w:val="none"/>
          <w:u w:val="none"/>
          <w:lang w:val="en-US" w:eastAsia="zh-CN"/>
        </w:rPr>
      </w:pPr>
      <w:r>
        <w:rPr>
          <w:rFonts w:hint="default" w:ascii="Times New Roman" w:hAnsi="Times New Roman" w:eastAsia="楷体_GB2312" w:cs="Times New Roman"/>
          <w:b/>
          <w:color w:val="auto"/>
          <w:sz w:val="32"/>
          <w:szCs w:val="32"/>
          <w:highlight w:val="none"/>
          <w:u w:val="none"/>
          <w:lang w:val="zh-CN"/>
        </w:rPr>
        <w:t>（一）</w:t>
      </w:r>
      <w:r>
        <w:rPr>
          <w:rFonts w:hint="default" w:ascii="Times New Roman" w:hAnsi="Times New Roman" w:eastAsia="楷体_GB2312" w:cs="Times New Roman"/>
          <w:b/>
          <w:color w:val="auto"/>
          <w:sz w:val="32"/>
          <w:szCs w:val="32"/>
          <w:highlight w:val="none"/>
          <w:u w:val="none"/>
          <w:lang w:val="en-US" w:eastAsia="zh-CN"/>
        </w:rPr>
        <w:t>通用指标</w:t>
      </w:r>
      <w:r>
        <w:rPr>
          <w:rFonts w:hint="default" w:ascii="Times New Roman" w:hAnsi="Times New Roman" w:eastAsia="楷体_GB2312" w:cs="Times New Roman"/>
          <w:b/>
          <w:bCs/>
          <w:color w:val="000000"/>
          <w:kern w:val="0"/>
          <w:szCs w:val="32"/>
          <w:highlight w:val="none"/>
          <w:shd w:val="clear" w:color="auto" w:fill="FFFFFF"/>
          <w:lang w:val="zh-CN"/>
        </w:rPr>
        <w:t>绩效分析。</w:t>
      </w:r>
    </w:p>
    <w:p w14:paraId="77EF5EA2">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1.项目决策。</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使用该项目可以快速响应对景区珍稀动植物监测、地质灾害监测、自然环境监、客流量统计分析和车辆调度等景区需求。</w:t>
      </w:r>
    </w:p>
    <w:p w14:paraId="36F1C6D6">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2.项目管理。</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项目资金严格按照单位财务管理制度及预算支出范围使用，做到专项管理、专款专用。单位财务管理制度健全，</w:t>
      </w:r>
      <w:r>
        <w:rPr>
          <w:rFonts w:hint="eastAsia" w:ascii="Times New Roman" w:hAnsi="Times New Roman" w:eastAsia="仿宋_GB2312" w:cs="Times New Roman"/>
          <w:color w:val="auto"/>
          <w:kern w:val="0"/>
          <w:sz w:val="32"/>
          <w:szCs w:val="32"/>
          <w:highlight w:val="none"/>
          <w:u w:val="none"/>
          <w:shd w:val="clear" w:color="auto" w:fill="FFFFFF"/>
          <w:lang w:val="zh-CN" w:eastAsia="zh-CN" w:bidi="ar-SA"/>
        </w:rPr>
        <w:t>账务处理及时，会计核算规范。</w:t>
      </w:r>
    </w:p>
    <w:p w14:paraId="09BBA78E">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3.项目实施。</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本项目共在景区内外共安装海康威视高清数字网络摄像机各型号共231台。景区内新增一条24芯铠装光缆作为主传输线路。修建面积约100平方米的指挥中心，前后各配置约4米长单色LED条屏，6联监控席位，监控电脑共9台，3台放置于指挥中心，其余6台分布在各分控中心。指挥中心后端设备采用海康威视中心管理服务器，并配置客流统计分析服务器和智能行为分析服务器。在博物馆还特别安装了霍利韦尔红外双鉴探头、玻璃破碎探测器及博世报警设备一套。</w:t>
      </w:r>
    </w:p>
    <w:p w14:paraId="58349A9C">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4.项目结果。</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实施实现景区实时监控、电子地图、客流量统计分析的一体化，让游客足不出户更加直观的了解景区；同时通过项目的地质灾害、森林草原防灭火、野生动植物资源及在线营销宣传等功能，提升了“智慧景区”管理水平。</w:t>
      </w:r>
    </w:p>
    <w:p w14:paraId="56C85CC7">
      <w:pPr>
        <w:keepNext w:val="0"/>
        <w:keepLines w:val="0"/>
        <w:pageBreakBefore w:val="0"/>
        <w:widowControl w:val="0"/>
        <w:kinsoku/>
        <w:wordWrap/>
        <w:overflowPunct/>
        <w:topLinePunct w:val="0"/>
        <w:autoSpaceDE/>
        <w:autoSpaceDN/>
        <w:bidi w:val="0"/>
        <w:adjustRightInd w:val="0"/>
        <w:snapToGrid w:val="0"/>
        <w:spacing w:line="480" w:lineRule="exact"/>
        <w:ind w:firstLine="72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eastAsia="zh-CN"/>
        </w:rPr>
        <w:t>四</w:t>
      </w:r>
      <w:r>
        <w:rPr>
          <w:rFonts w:hint="default" w:ascii="Times New Roman" w:hAnsi="Times New Roman" w:eastAsia="黑体" w:cs="Times New Roman"/>
          <w:color w:val="auto"/>
          <w:sz w:val="32"/>
          <w:szCs w:val="32"/>
          <w:highlight w:val="none"/>
          <w:u w:val="none"/>
        </w:rPr>
        <w:t>、评价结论</w:t>
      </w:r>
    </w:p>
    <w:p w14:paraId="26DE0186">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通过对景区的实时监控视频，让游客更直观、更方便了解景区资源，提升了景区智能化、信息化水平，更高效的宣传了景区的旅游资源，同时促进了景区森林草原防灭火工作开展及自然保护区动植物资源的保护。</w:t>
      </w:r>
    </w:p>
    <w:p w14:paraId="1AC1E442">
      <w:pPr>
        <w:pStyle w:val="6"/>
        <w:pageBreakBefore w:val="0"/>
        <w:numPr>
          <w:ilvl w:val="0"/>
          <w:numId w:val="5"/>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sz w:val="32"/>
          <w:szCs w:val="32"/>
          <w:highlight w:val="none"/>
          <w:u w:val="none"/>
          <w:lang w:eastAsia="zh-CN"/>
        </w:rPr>
      </w:pPr>
      <w:r>
        <w:rPr>
          <w:rFonts w:hint="default" w:ascii="Times New Roman" w:hAnsi="Times New Roman" w:eastAsia="黑体" w:cs="Times New Roman"/>
          <w:color w:val="auto"/>
          <w:sz w:val="32"/>
          <w:szCs w:val="32"/>
          <w:highlight w:val="none"/>
          <w:u w:val="none"/>
          <w:lang w:eastAsia="zh-CN"/>
        </w:rPr>
        <w:t>存在主要问题</w:t>
      </w:r>
    </w:p>
    <w:p w14:paraId="08FB7383">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系统设施设备老旧，系统故障频繁。</w:t>
      </w:r>
    </w:p>
    <w:p w14:paraId="40AA3B9F">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kern w:val="0"/>
          <w:position w:val="3"/>
          <w:sz w:val="32"/>
          <w:szCs w:val="32"/>
          <w:highlight w:val="none"/>
          <w:u w:val="none"/>
          <w:lang w:val="zh-CN" w:eastAsia="zh-CN" w:bidi="ar-SA"/>
        </w:rPr>
      </w:pPr>
      <w:r>
        <w:rPr>
          <w:rFonts w:hint="default" w:ascii="Times New Roman" w:hAnsi="Times New Roman" w:eastAsia="黑体" w:cs="Times New Roman"/>
          <w:color w:val="auto"/>
          <w:kern w:val="0"/>
          <w:position w:val="3"/>
          <w:sz w:val="32"/>
          <w:szCs w:val="32"/>
          <w:highlight w:val="none"/>
          <w:u w:val="none"/>
          <w:lang w:val="zh-CN" w:eastAsia="zh-CN" w:bidi="ar-SA"/>
        </w:rPr>
        <w:t>六、改进建议</w:t>
      </w:r>
    </w:p>
    <w:p w14:paraId="41F15371">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加强甲乙双方日常工作沟通，积极合作。督促乙方加强整改力度，并建立台账，与项目绩效挂钩。</w:t>
      </w:r>
    </w:p>
    <w:p w14:paraId="1FC4C03B">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p>
    <w:p w14:paraId="7D7ED72F">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default" w:ascii="Times New Roman" w:hAnsi="Times New Roman" w:eastAsia="方正小标宋简体" w:cs="Times New Roman"/>
          <w:color w:val="auto"/>
          <w:kern w:val="2"/>
          <w:sz w:val="44"/>
          <w:szCs w:val="44"/>
          <w:highlight w:val="none"/>
          <w:lang w:val="en-US" w:eastAsia="zh-CN"/>
        </w:rPr>
      </w:pPr>
    </w:p>
    <w:p w14:paraId="0E5ED09C">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default" w:ascii="Times New Roman" w:hAnsi="Times New Roman" w:eastAsia="方正小标宋简体" w:cs="Times New Roman"/>
          <w:color w:val="auto"/>
          <w:kern w:val="2"/>
          <w:sz w:val="44"/>
          <w:szCs w:val="44"/>
          <w:highlight w:val="none"/>
          <w:lang w:val="en-US" w:eastAsia="zh-CN"/>
        </w:rPr>
      </w:pPr>
      <w:r>
        <w:rPr>
          <w:rFonts w:hint="default" w:ascii="Times New Roman" w:hAnsi="Times New Roman" w:eastAsia="方正小标宋简体" w:cs="Times New Roman"/>
          <w:color w:val="auto"/>
          <w:kern w:val="2"/>
          <w:sz w:val="44"/>
          <w:szCs w:val="44"/>
          <w:highlight w:val="none"/>
          <w:lang w:val="en-US" w:eastAsia="zh-CN"/>
        </w:rPr>
        <w:t>水生态环境质量建设及水污染防治</w:t>
      </w:r>
    </w:p>
    <w:p w14:paraId="02E877F5">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default" w:ascii="Times New Roman" w:hAnsi="Times New Roman" w:eastAsia="方正小标宋简体" w:cs="Times New Roman"/>
          <w:color w:val="auto"/>
          <w:kern w:val="2"/>
          <w:sz w:val="44"/>
          <w:szCs w:val="44"/>
          <w:highlight w:val="none"/>
          <w:lang w:val="en-US" w:eastAsia="zh-CN"/>
        </w:rPr>
      </w:pPr>
      <w:r>
        <w:rPr>
          <w:rFonts w:hint="default" w:ascii="Times New Roman" w:hAnsi="Times New Roman" w:eastAsia="方正小标宋简体" w:cs="Times New Roman"/>
          <w:color w:val="auto"/>
          <w:kern w:val="2"/>
          <w:sz w:val="44"/>
          <w:szCs w:val="44"/>
          <w:highlight w:val="none"/>
          <w:lang w:val="en-US" w:eastAsia="zh-CN"/>
        </w:rPr>
        <w:t>能力建设专项预算绩效自评报告</w:t>
      </w:r>
    </w:p>
    <w:p w14:paraId="20C4388F">
      <w:pPr>
        <w:pStyle w:val="23"/>
        <w:keepNext w:val="0"/>
        <w:keepLines w:val="0"/>
        <w:pageBreakBefore w:val="0"/>
        <w:widowControl w:val="0"/>
        <w:kinsoku/>
        <w:wordWrap/>
        <w:overflowPunct/>
        <w:topLinePunct w:val="0"/>
        <w:autoSpaceDE/>
        <w:autoSpaceDN/>
        <w:bidi w:val="0"/>
        <w:spacing w:line="480" w:lineRule="exact"/>
        <w:ind w:left="0" w:leftChars="0" w:firstLine="640"/>
        <w:jc w:val="center"/>
        <w:textAlignment w:val="auto"/>
        <w:rPr>
          <w:rFonts w:hint="default" w:ascii="Times New Roman" w:hAnsi="Times New Roman" w:eastAsia="黑体" w:cs="Times New Roman"/>
          <w:color w:val="auto"/>
          <w:kern w:val="0"/>
          <w:position w:val="3"/>
          <w:sz w:val="32"/>
          <w:szCs w:val="32"/>
          <w:highlight w:val="none"/>
          <w:u w:val="none"/>
          <w:lang w:val="zh-CN" w:eastAsia="zh-CN" w:bidi="ar-SA"/>
        </w:rPr>
      </w:pPr>
    </w:p>
    <w:p w14:paraId="2E3996EA">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eastAsia="黑体" w:cs="Times New Roman"/>
          <w:color w:val="auto"/>
          <w:kern w:val="0"/>
          <w:position w:val="3"/>
          <w:sz w:val="32"/>
          <w:szCs w:val="32"/>
          <w:highlight w:val="none"/>
          <w:u w:val="none"/>
          <w:lang w:val="zh-CN" w:eastAsia="zh-CN" w:bidi="ar-SA"/>
        </w:rPr>
      </w:pPr>
      <w:r>
        <w:rPr>
          <w:rFonts w:hint="default" w:ascii="Times New Roman" w:hAnsi="Times New Roman" w:eastAsia="黑体" w:cs="Times New Roman"/>
          <w:color w:val="auto"/>
          <w:kern w:val="0"/>
          <w:position w:val="3"/>
          <w:sz w:val="32"/>
          <w:szCs w:val="32"/>
          <w:highlight w:val="none"/>
          <w:u w:val="none"/>
          <w:lang w:val="zh-CN" w:eastAsia="zh-CN" w:bidi="ar-SA"/>
        </w:rPr>
        <w:t>一、项目概况</w:t>
      </w:r>
    </w:p>
    <w:p w14:paraId="13355F01">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3" w:firstLineChars="200"/>
        <w:contextualSpacing/>
        <w:jc w:val="left"/>
        <w:textAlignment w:val="auto"/>
        <w:rPr>
          <w:rFonts w:hint="default" w:ascii="Times New Roman" w:hAnsi="Times New Roman" w:eastAsia="楷体_GB2312" w:cs="Times New Roman"/>
          <w:b/>
          <w:color w:val="auto"/>
          <w:sz w:val="32"/>
          <w:szCs w:val="32"/>
          <w:highlight w:val="none"/>
          <w:u w:val="none"/>
          <w:lang w:val="zh-CN"/>
        </w:rPr>
      </w:pPr>
      <w:r>
        <w:rPr>
          <w:rFonts w:hint="default" w:ascii="Times New Roman" w:hAnsi="Times New Roman" w:eastAsia="楷体_GB2312" w:cs="Times New Roman"/>
          <w:b/>
          <w:color w:val="auto"/>
          <w:sz w:val="32"/>
          <w:szCs w:val="32"/>
          <w:highlight w:val="none"/>
          <w:u w:val="none"/>
          <w:lang w:val="zh-CN"/>
        </w:rPr>
        <w:t>（一）设立背景及基本情况。</w:t>
      </w:r>
    </w:p>
    <w:p w14:paraId="7ACD62C5">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本项目为水生态环境质量建设及水污染防治能力建设经费30万元，项目立项后，通过招投标方式确定中标单位为四川师范大学，其责任处室为科研处，负责监督达古冰川水环境及水循环过程研究项目全过程实施。其工作内容为完成达古冰川小流域水环境数据集1套，数据集包含冰川、冰川湖、河流、达古湖共计9个采样点数据，囊括PH值、溶解度、浊度等参数指标16个；完成2024年达古冰川园区水环境和水循环过程研究咨询报告1份。报告包括达古冰川消融速率、园区水环境水质分析、降水分布与季节变化、水循环系统过程；建立两个水文观测站，常年观测河流水位、流量。</w:t>
      </w:r>
    </w:p>
    <w:p w14:paraId="0D2CD62F">
      <w:pPr>
        <w:keepNext w:val="0"/>
        <w:keepLines w:val="0"/>
        <w:pageBreakBefore w:val="0"/>
        <w:numPr>
          <w:ilvl w:val="0"/>
          <w:numId w:val="0"/>
        </w:numPr>
        <w:kinsoku/>
        <w:wordWrap/>
        <w:overflowPunct/>
        <w:topLinePunct w:val="0"/>
        <w:autoSpaceDE/>
        <w:autoSpaceDN/>
        <w:bidi w:val="0"/>
        <w:adjustRightInd w:val="0"/>
        <w:snapToGrid w:val="0"/>
        <w:spacing w:line="480" w:lineRule="exact"/>
        <w:ind w:firstLine="643" w:firstLineChars="200"/>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eastAsia" w:eastAsia="楷体_GB2312" w:cs="Times New Roman"/>
          <w:b/>
          <w:color w:val="auto"/>
          <w:sz w:val="32"/>
          <w:szCs w:val="32"/>
          <w:highlight w:val="none"/>
          <w:u w:val="none"/>
          <w:lang w:val="en-US" w:eastAsia="zh-CN"/>
        </w:rPr>
        <w:t>（二）</w:t>
      </w:r>
      <w:r>
        <w:rPr>
          <w:rFonts w:hint="default" w:ascii="Times New Roman" w:hAnsi="Times New Roman" w:eastAsia="楷体_GB2312" w:cs="Times New Roman"/>
          <w:b/>
          <w:color w:val="auto"/>
          <w:sz w:val="32"/>
          <w:szCs w:val="32"/>
          <w:highlight w:val="none"/>
          <w:u w:val="none"/>
          <w:lang w:val="en-US" w:eastAsia="zh-CN"/>
        </w:rPr>
        <w:t>实施目的及支持方向。</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本项目资金使用严格按照财务管理相关制度实施，项目实施目的为开展达古冰川水环境和水循环过程系统分析工作，全面了解达古冰川水资源现状</w:t>
      </w:r>
      <w:r>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t>。</w:t>
      </w:r>
    </w:p>
    <w:p w14:paraId="7FEE00D0">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3"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default" w:ascii="Times New Roman" w:hAnsi="Times New Roman" w:eastAsia="楷体_GB2312" w:cs="Times New Roman"/>
          <w:b/>
          <w:color w:val="auto"/>
          <w:sz w:val="32"/>
          <w:szCs w:val="32"/>
          <w:highlight w:val="none"/>
          <w:u w:val="none"/>
          <w:lang w:val="zh-CN" w:eastAsia="zh-CN"/>
        </w:rPr>
        <w:t>（三）</w:t>
      </w:r>
      <w:r>
        <w:rPr>
          <w:rFonts w:hint="default" w:ascii="Times New Roman" w:hAnsi="Times New Roman" w:eastAsia="楷体_GB2312" w:cs="Times New Roman"/>
          <w:b/>
          <w:color w:val="auto"/>
          <w:sz w:val="32"/>
          <w:szCs w:val="32"/>
          <w:highlight w:val="none"/>
          <w:u w:val="none"/>
          <w:lang w:val="en-US" w:eastAsia="zh-CN"/>
        </w:rPr>
        <w:t>预算安排及分配管理</w:t>
      </w:r>
      <w:r>
        <w:rPr>
          <w:rFonts w:hint="default" w:ascii="Times New Roman" w:hAnsi="Times New Roman" w:eastAsia="楷体_GB2312" w:cs="Times New Roman"/>
          <w:b/>
          <w:color w:val="auto"/>
          <w:sz w:val="32"/>
          <w:szCs w:val="32"/>
          <w:highlight w:val="none"/>
          <w:u w:val="none"/>
          <w:lang w:val="zh-CN" w:eastAsia="zh-CN"/>
        </w:rPr>
        <w:t>。</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项目资金预算30万元，为全面了解达古冰川水资源现状，开展达古冰川水环境及水循环过程研究。</w:t>
      </w:r>
    </w:p>
    <w:p w14:paraId="3DD7A215">
      <w:pPr>
        <w:keepNext w:val="0"/>
        <w:keepLines w:val="0"/>
        <w:pageBreakBefore w:val="0"/>
        <w:kinsoku/>
        <w:wordWrap/>
        <w:overflowPunct/>
        <w:topLinePunct w:val="0"/>
        <w:autoSpaceDE/>
        <w:autoSpaceDN/>
        <w:bidi w:val="0"/>
        <w:adjustRightInd w:val="0"/>
        <w:snapToGrid w:val="0"/>
        <w:spacing w:line="480" w:lineRule="exact"/>
        <w:ind w:left="0" w:leftChars="0" w:firstLine="643"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default" w:ascii="Times New Roman" w:hAnsi="Times New Roman" w:eastAsia="楷体_GB2312" w:cs="Times New Roman"/>
          <w:b/>
          <w:color w:val="auto"/>
          <w:sz w:val="32"/>
          <w:szCs w:val="32"/>
          <w:highlight w:val="none"/>
          <w:u w:val="none"/>
          <w:lang w:val="zh-CN" w:eastAsia="zh-CN"/>
        </w:rPr>
        <w:t>（四）项目绩效目标设置。</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立项后，严格按照相关程序进行推动，其项目自评内容为小流域水环境数据集数量1套，成果报告2份，设立水文观测站2个，水环境采集合格率100%，完成时限1年，保护水环境优质，对水环境监测成果满意度达100%，水环境监测成本30万元。</w:t>
      </w:r>
    </w:p>
    <w:p w14:paraId="2D1369A4">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eastAsia="黑体" w:cs="Times New Roman"/>
          <w:color w:val="auto"/>
          <w:kern w:val="0"/>
          <w:position w:val="3"/>
          <w:sz w:val="32"/>
          <w:szCs w:val="32"/>
          <w:highlight w:val="none"/>
          <w:u w:val="none"/>
          <w:lang w:val="zh-CN" w:eastAsia="zh-CN" w:bidi="ar-SA"/>
        </w:rPr>
      </w:pPr>
      <w:r>
        <w:rPr>
          <w:rFonts w:hint="default" w:ascii="Times New Roman" w:hAnsi="Times New Roman" w:eastAsia="黑体" w:cs="Times New Roman"/>
          <w:color w:val="auto"/>
          <w:kern w:val="0"/>
          <w:position w:val="3"/>
          <w:sz w:val="32"/>
          <w:szCs w:val="32"/>
          <w:highlight w:val="none"/>
          <w:u w:val="none"/>
          <w:lang w:val="zh-CN" w:eastAsia="zh-CN" w:bidi="ar-SA"/>
        </w:rPr>
        <w:t>二、评价实施</w:t>
      </w:r>
    </w:p>
    <w:p w14:paraId="392C5220">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（一）评价目的。</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通过项目绩效自评</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实现对项目实施过程的监督以及确保项目实施达到预期效果</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2DB4DCCA">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643" w:firstLineChars="20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（二）预设问题及评价重点。</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按照绩效评价指标体系，资金支出使用全过程</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流程规范，其实施效果良好</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51E06DBB">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643" w:firstLineChars="200"/>
        <w:textAlignment w:val="auto"/>
        <w:outlineLvl w:val="9"/>
        <w:rPr>
          <w:rFonts w:hint="default" w:ascii="Times New Roman" w:hAnsi="Times New Roman" w:cs="Times New Roman"/>
          <w:szCs w:val="32"/>
          <w:lang w:val="en-US" w:eastAsia="zh-CN"/>
        </w:rPr>
      </w:pPr>
      <w:r>
        <w:rPr>
          <w:rFonts w:hint="default" w:ascii="Times New Roman" w:hAnsi="Times New Roman" w:eastAsia="楷体_GB2312" w:cs="Times New Roman"/>
          <w:b/>
          <w:color w:val="auto"/>
          <w:sz w:val="32"/>
          <w:szCs w:val="32"/>
          <w:highlight w:val="none"/>
          <w:u w:val="none"/>
          <w:lang w:val="zh-CN"/>
        </w:rPr>
        <w:t>（三）评价选点。</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本项目开展项目自评。</w:t>
      </w:r>
    </w:p>
    <w:p w14:paraId="6C797F7A">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eastAsia" w:eastAsia="仿宋_GB2312" w:cs="Times New Roman"/>
          <w:b/>
          <w:color w:val="auto"/>
          <w:sz w:val="32"/>
          <w:szCs w:val="32"/>
          <w:highlight w:val="none"/>
          <w:u w:val="none"/>
          <w:lang w:val="en-US" w:eastAsia="zh-CN"/>
        </w:rPr>
      </w:pPr>
      <w:r>
        <w:rPr>
          <w:rFonts w:hint="default" w:ascii="Times New Roman" w:hAnsi="Times New Roman" w:eastAsia="楷体_GB2312" w:cs="Times New Roman"/>
          <w:b/>
          <w:color w:val="auto"/>
          <w:sz w:val="32"/>
          <w:szCs w:val="32"/>
          <w:highlight w:val="none"/>
          <w:u w:val="none"/>
          <w:lang w:val="zh-CN"/>
        </w:rPr>
        <w:t>（四）评价方法。</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本项目评价方法为</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单位自评法</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w:t>
      </w:r>
    </w:p>
    <w:p w14:paraId="00FD1E16">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（五）评价组织。</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本项目自评组实现分管领导负责制，处室负责同志牵头，负责项目实施过程的全程监督，确保项目按时实施，项目达到预期效果</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105CE37C">
      <w:pPr>
        <w:keepNext w:val="0"/>
        <w:keepLines w:val="0"/>
        <w:pageBreakBefore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cs="Times New Roman"/>
          <w:color w:val="auto"/>
          <w:sz w:val="32"/>
          <w:szCs w:val="32"/>
          <w:highlight w:val="none"/>
          <w:u w:val="none"/>
          <w:lang w:val="zh-CN"/>
        </w:rPr>
      </w:pPr>
      <w:r>
        <w:rPr>
          <w:rFonts w:hint="default" w:ascii="Times New Roman" w:hAnsi="Times New Roman" w:eastAsia="黑体" w:cs="Times New Roman"/>
          <w:color w:val="auto"/>
          <w:sz w:val="32"/>
          <w:szCs w:val="32"/>
          <w:highlight w:val="none"/>
          <w:u w:val="none"/>
        </w:rPr>
        <w:t>三、</w:t>
      </w:r>
      <w:r>
        <w:rPr>
          <w:rFonts w:hint="default" w:ascii="Times New Roman" w:hAnsi="Times New Roman" w:eastAsia="黑体" w:cs="Times New Roman"/>
          <w:color w:val="auto"/>
          <w:sz w:val="32"/>
          <w:szCs w:val="32"/>
          <w:highlight w:val="none"/>
          <w:u w:val="none"/>
          <w:lang w:eastAsia="zh-CN"/>
        </w:rPr>
        <w:t>绩效分析</w:t>
      </w:r>
      <w:r>
        <w:rPr>
          <w:rFonts w:hint="default" w:ascii="Times New Roman" w:hAnsi="Times New Roman" w:cs="Times New Roman"/>
          <w:color w:val="auto"/>
          <w:sz w:val="32"/>
          <w:szCs w:val="32"/>
          <w:highlight w:val="none"/>
          <w:u w:val="none"/>
          <w:lang w:val="zh-CN"/>
        </w:rPr>
        <w:tab/>
      </w:r>
    </w:p>
    <w:p w14:paraId="49AEF766">
      <w:pPr>
        <w:keepNext w:val="0"/>
        <w:keepLines w:val="0"/>
        <w:pageBreakBefore w:val="0"/>
        <w:widowControl w:val="0"/>
        <w:kinsoku/>
        <w:wordWrap/>
        <w:overflowPunct/>
        <w:topLinePunct w:val="0"/>
        <w:autoSpaceDE/>
        <w:autoSpaceDN/>
        <w:bidi w:val="0"/>
        <w:adjustRightInd w:val="0"/>
        <w:snapToGrid w:val="0"/>
        <w:spacing w:line="480" w:lineRule="exact"/>
        <w:ind w:firstLine="643" w:firstLineChars="200"/>
        <w:textAlignment w:val="auto"/>
        <w:rPr>
          <w:rFonts w:hint="default" w:ascii="Times New Roman" w:hAnsi="Times New Roman" w:eastAsia="黑体" w:cs="Times New Roman"/>
          <w:color w:val="auto"/>
          <w:kern w:val="0"/>
          <w:position w:val="3"/>
          <w:sz w:val="32"/>
          <w:szCs w:val="32"/>
          <w:highlight w:val="none"/>
          <w:u w:val="none"/>
          <w:lang w:val="en-US" w:eastAsia="zh-CN" w:bidi="ar-SA"/>
        </w:rPr>
      </w:pPr>
      <w:r>
        <w:rPr>
          <w:rFonts w:hint="default" w:ascii="Times New Roman" w:hAnsi="Times New Roman" w:eastAsia="楷体_GB2312" w:cs="Times New Roman"/>
          <w:b/>
          <w:color w:val="auto"/>
          <w:sz w:val="32"/>
          <w:szCs w:val="32"/>
          <w:highlight w:val="none"/>
          <w:u w:val="none"/>
          <w:lang w:val="zh-CN"/>
        </w:rPr>
        <w:t>（一）</w:t>
      </w:r>
      <w:r>
        <w:rPr>
          <w:rFonts w:hint="default" w:ascii="Times New Roman" w:hAnsi="Times New Roman" w:eastAsia="楷体_GB2312" w:cs="Times New Roman"/>
          <w:b/>
          <w:color w:val="auto"/>
          <w:sz w:val="32"/>
          <w:szCs w:val="32"/>
          <w:highlight w:val="none"/>
          <w:u w:val="none"/>
          <w:lang w:val="en-US" w:eastAsia="zh-CN"/>
        </w:rPr>
        <w:t>通用指标</w:t>
      </w:r>
      <w:r>
        <w:rPr>
          <w:rFonts w:hint="default" w:ascii="Times New Roman" w:hAnsi="Times New Roman" w:eastAsia="楷体_GB2312" w:cs="Times New Roman"/>
          <w:b/>
          <w:color w:val="auto"/>
          <w:sz w:val="32"/>
          <w:szCs w:val="32"/>
          <w:highlight w:val="none"/>
          <w:u w:val="none"/>
          <w:lang w:val="zh-CN" w:eastAsia="zh-CN"/>
        </w:rPr>
        <w:t>绩效分析。</w:t>
      </w:r>
    </w:p>
    <w:p w14:paraId="6A131464">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1.项目决策。</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项目决策程序规范，严格遵守三重一大决策程序进行实施</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32B25791">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2.项目管理。</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项目实施过程中严格对项目实施过程进行监督，制定项目实施方案，按时间节点进行实施</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23A2772C">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3.项目实施。</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项目资金29.55万元，资金拨付及时，流程规范</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w:t>
      </w:r>
    </w:p>
    <w:p w14:paraId="09CF7FA8">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4.项目结果。</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完成达古冰川小流域水环境数据集1套，采集水样2次，包含冰川、冰川湖、河流、达古湖共计18个采样点数据，囊括PH值、溶解度、浊度等参数指标16个，分析相关数据32份；完成2024年达古冰川园区水环境和水循环过程研究咨询报告1份。设立水文观测站2个。</w:t>
      </w:r>
    </w:p>
    <w:p w14:paraId="7A23CE75">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eastAsia="zh-CN"/>
        </w:rPr>
        <w:t>四</w:t>
      </w:r>
      <w:r>
        <w:rPr>
          <w:rFonts w:hint="default" w:ascii="Times New Roman" w:hAnsi="Times New Roman" w:eastAsia="黑体" w:cs="Times New Roman"/>
          <w:color w:val="auto"/>
          <w:sz w:val="32"/>
          <w:szCs w:val="32"/>
          <w:highlight w:val="none"/>
          <w:u w:val="none"/>
        </w:rPr>
        <w:t>、评价结论</w:t>
      </w:r>
    </w:p>
    <w:p w14:paraId="1504626E">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通过开展达古冰川水环境及水循环过程研究，常年观测河流水位、流量，全面了解达古冰川水资源现状，促进达古冰川生态环境可持续发展。</w:t>
      </w:r>
    </w:p>
    <w:p w14:paraId="433932DC">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sz w:val="32"/>
          <w:szCs w:val="32"/>
          <w:highlight w:val="none"/>
          <w:u w:val="none"/>
          <w:lang w:eastAsia="zh-CN"/>
        </w:rPr>
      </w:pPr>
      <w:r>
        <w:rPr>
          <w:rFonts w:hint="default" w:ascii="Times New Roman" w:hAnsi="Times New Roman" w:cs="Times New Roman"/>
          <w:color w:val="auto"/>
          <w:sz w:val="32"/>
          <w:szCs w:val="32"/>
          <w:highlight w:val="none"/>
          <w:u w:val="none"/>
          <w:lang w:eastAsia="zh-CN"/>
        </w:rPr>
        <w:t>五、</w:t>
      </w:r>
      <w:r>
        <w:rPr>
          <w:rFonts w:hint="default" w:ascii="Times New Roman" w:hAnsi="Times New Roman" w:eastAsia="黑体" w:cs="Times New Roman"/>
          <w:color w:val="auto"/>
          <w:sz w:val="32"/>
          <w:szCs w:val="32"/>
          <w:highlight w:val="none"/>
          <w:u w:val="none"/>
          <w:lang w:eastAsia="zh-CN"/>
        </w:rPr>
        <w:t>存在主要问题</w:t>
      </w:r>
    </w:p>
    <w:p w14:paraId="18F55E19">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项目资金时间紧凑，项目推进时间周期较长。</w:t>
      </w:r>
    </w:p>
    <w:p w14:paraId="76FD2C4B">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kern w:val="0"/>
          <w:position w:val="3"/>
          <w:sz w:val="32"/>
          <w:szCs w:val="32"/>
          <w:highlight w:val="none"/>
          <w:u w:val="none"/>
          <w:lang w:val="zh-CN" w:eastAsia="zh-CN" w:bidi="ar-SA"/>
        </w:rPr>
      </w:pPr>
      <w:r>
        <w:rPr>
          <w:rFonts w:hint="default" w:ascii="Times New Roman" w:hAnsi="Times New Roman" w:eastAsia="黑体" w:cs="Times New Roman"/>
          <w:color w:val="auto"/>
          <w:kern w:val="0"/>
          <w:position w:val="3"/>
          <w:sz w:val="32"/>
          <w:szCs w:val="32"/>
          <w:highlight w:val="none"/>
          <w:u w:val="none"/>
          <w:lang w:val="zh-CN" w:eastAsia="zh-CN" w:bidi="ar-SA"/>
        </w:rPr>
        <w:t>六、改进建议</w:t>
      </w:r>
    </w:p>
    <w:p w14:paraId="5509B95F">
      <w:pPr>
        <w:pageBreakBefore w:val="0"/>
        <w:tabs>
          <w:tab w:val="left" w:pos="1911"/>
        </w:tabs>
        <w:kinsoku/>
        <w:wordWrap/>
        <w:overflowPunct/>
        <w:topLinePunct w:val="0"/>
        <w:bidi w:val="0"/>
        <w:spacing w:line="480" w:lineRule="exact"/>
        <w:jc w:val="left"/>
        <w:rPr>
          <w:rFonts w:hint="default" w:ascii="Times New Roman" w:hAnsi="Times New Roman" w:eastAsia="仿宋_GB2312" w:cs="Times New Roman"/>
          <w:b w:val="0"/>
          <w:bCs w:val="0"/>
          <w:kern w:val="0"/>
          <w:position w:val="0"/>
          <w:sz w:val="32"/>
          <w:szCs w:val="32"/>
          <w:highlight w:val="none"/>
          <w:lang w:val="en"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zh-CN" w:eastAsia="zh-CN"/>
        </w:rPr>
        <w:t xml:space="preserve"> </w:t>
      </w:r>
      <w:r>
        <w:rPr>
          <w:rFonts w:hint="default" w:ascii="Times New Roman" w:hAnsi="Times New Roman" w:cs="Times New Roman"/>
          <w:b w:val="0"/>
          <w:bCs w:val="0"/>
          <w:kern w:val="0"/>
          <w:position w:val="0"/>
          <w:sz w:val="32"/>
          <w:szCs w:val="32"/>
          <w:highlight w:val="none"/>
          <w:lang w:val="en-US" w:eastAsia="zh-CN" w:bidi="ar-SA"/>
        </w:rPr>
        <w:t xml:space="preserve">   </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项目时间实现闭环，确保研究质量，达到预期研究效果。</w:t>
      </w:r>
    </w:p>
    <w:p w14:paraId="449BC037">
      <w:pPr>
        <w:keepNext w:val="0"/>
        <w:keepLines w:val="0"/>
        <w:pageBreakBefore w:val="0"/>
        <w:kinsoku/>
        <w:wordWrap/>
        <w:overflowPunct/>
        <w:topLinePunct w:val="0"/>
        <w:autoSpaceDE/>
        <w:autoSpaceDN/>
        <w:bidi w:val="0"/>
        <w:adjustRightInd/>
        <w:snapToGrid w:val="0"/>
        <w:spacing w:line="480" w:lineRule="exact"/>
        <w:ind w:left="0" w:leftChars="0" w:firstLine="420" w:firstLineChars="200"/>
        <w:textAlignment w:val="auto"/>
        <w:outlineLvl w:val="9"/>
        <w:rPr>
          <w:rFonts w:hint="default" w:ascii="Times New Roman" w:hAnsi="Times New Roman" w:cs="Times New Roman"/>
          <w:color w:val="000000"/>
          <w:kern w:val="0"/>
          <w:szCs w:val="32"/>
          <w:highlight w:val="none"/>
          <w:shd w:val="clear" w:color="auto" w:fill="FFFFFF"/>
          <w:lang w:val="zh-CN" w:eastAsia="zh-CN"/>
        </w:rPr>
      </w:pPr>
    </w:p>
    <w:p w14:paraId="0DDD02FE">
      <w:pPr>
        <w:pStyle w:val="12"/>
        <w:keepNext w:val="0"/>
        <w:keepLines w:val="0"/>
        <w:pageBreakBefore w:val="0"/>
        <w:widowControl w:val="0"/>
        <w:kinsoku/>
        <w:wordWrap/>
        <w:overflowPunct/>
        <w:topLinePunct w:val="0"/>
        <w:autoSpaceDE/>
        <w:autoSpaceDN/>
        <w:bidi w:val="0"/>
        <w:adjustRightInd/>
        <w:snapToGrid/>
        <w:spacing w:after="0" w:line="480" w:lineRule="exact"/>
        <w:ind w:left="0" w:leftChars="0" w:firstLine="0" w:firstLineChars="0"/>
        <w:textAlignment w:val="auto"/>
        <w:rPr>
          <w:rFonts w:hint="default" w:ascii="Times New Roman" w:hAnsi="Times New Roman" w:eastAsia="黑体" w:cs="Times New Roman"/>
          <w:sz w:val="24"/>
          <w:szCs w:val="24"/>
          <w:highlight w:val="none"/>
          <w:lang w:val="en-US" w:eastAsia="zh-CN"/>
        </w:rPr>
      </w:pPr>
    </w:p>
    <w:p w14:paraId="6AF133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w w:val="96"/>
          <w:sz w:val="44"/>
          <w:szCs w:val="44"/>
          <w:lang w:val="en-US" w:eastAsia="zh-CN"/>
        </w:rPr>
      </w:pPr>
      <w:r>
        <w:rPr>
          <w:rFonts w:hint="eastAsia" w:ascii="方正小标宋_GBK" w:hAnsi="方正小标宋_GBK" w:eastAsia="方正小标宋_GBK" w:cs="方正小标宋_GBK"/>
          <w:w w:val="96"/>
          <w:sz w:val="44"/>
          <w:szCs w:val="44"/>
          <w:lang w:val="en-US" w:eastAsia="zh-CN"/>
        </w:rPr>
        <w:t>达古冰川管理局</w:t>
      </w:r>
    </w:p>
    <w:p w14:paraId="24B9B78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w w:val="96"/>
          <w:sz w:val="44"/>
          <w:szCs w:val="44"/>
          <w:lang w:val="en-US" w:eastAsia="zh-CN"/>
        </w:rPr>
      </w:pPr>
      <w:r>
        <w:rPr>
          <w:rFonts w:hint="eastAsia" w:ascii="方正小标宋_GBK" w:hAnsi="方正小标宋_GBK" w:eastAsia="方正小标宋_GBK" w:cs="方正小标宋_GBK"/>
          <w:w w:val="96"/>
          <w:sz w:val="44"/>
          <w:szCs w:val="44"/>
          <w:lang w:val="en-US" w:eastAsia="zh-CN"/>
        </w:rPr>
        <w:t>宣传营销项目支出绩效自评报告</w:t>
      </w:r>
    </w:p>
    <w:p w14:paraId="546DDC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w w:val="96"/>
          <w:sz w:val="44"/>
          <w:szCs w:val="44"/>
          <w:lang w:val="en-US" w:eastAsia="zh-CN"/>
        </w:rPr>
      </w:pPr>
    </w:p>
    <w:p w14:paraId="436B1B42">
      <w:pPr>
        <w:keepNext w:val="0"/>
        <w:keepLines w:val="0"/>
        <w:pageBreakBefore w:val="0"/>
        <w:widowControl w:val="0"/>
        <w:numPr>
          <w:ilvl w:val="0"/>
          <w:numId w:val="0"/>
        </w:numPr>
        <w:kinsoku/>
        <w:wordWrap/>
        <w:overflowPunct/>
        <w:topLinePunct w:val="0"/>
        <w:autoSpaceDE/>
        <w:autoSpaceDN/>
        <w:bidi w:val="0"/>
        <w:snapToGrid/>
        <w:spacing w:line="480" w:lineRule="exact"/>
        <w:ind w:firstLine="640" w:firstLineChars="200"/>
        <w:rPr>
          <w:rFonts w:hint="eastAsia" w:ascii="黑体" w:hAnsi="黑体" w:eastAsia="黑体" w:cs="黑体"/>
          <w:w w:val="100"/>
          <w:sz w:val="32"/>
          <w:szCs w:val="32"/>
          <w:lang w:val="en-US" w:eastAsia="zh-CN"/>
        </w:rPr>
      </w:pPr>
      <w:r>
        <w:rPr>
          <w:rFonts w:hint="eastAsia" w:ascii="黑体" w:hAnsi="黑体" w:eastAsia="黑体" w:cs="黑体"/>
          <w:w w:val="100"/>
          <w:sz w:val="32"/>
          <w:szCs w:val="32"/>
          <w:lang w:val="en-US" w:eastAsia="zh-CN"/>
        </w:rPr>
        <w:t>一、项目概况</w:t>
      </w:r>
    </w:p>
    <w:p w14:paraId="19AFB0A6">
      <w:pPr>
        <w:keepNext w:val="0"/>
        <w:keepLines w:val="0"/>
        <w:pageBreakBefore w:val="0"/>
        <w:widowControl w:val="0"/>
        <w:numPr>
          <w:ilvl w:val="0"/>
          <w:numId w:val="0"/>
        </w:numPr>
        <w:kinsoku/>
        <w:wordWrap/>
        <w:overflowPunct/>
        <w:topLinePunct w:val="0"/>
        <w:autoSpaceDE/>
        <w:autoSpaceDN/>
        <w:bidi w:val="0"/>
        <w:snapToGrid/>
        <w:spacing w:line="480" w:lineRule="exact"/>
        <w:ind w:firstLine="643" w:firstLineChars="200"/>
        <w:rPr>
          <w:rFonts w:hint="default" w:ascii="楷体_GB2312" w:hAnsi="楷体_GB2312" w:eastAsia="楷体_GB2312" w:cs="楷体_GB2312"/>
          <w:b/>
          <w:bCs/>
          <w:w w:val="100"/>
          <w:sz w:val="32"/>
          <w:szCs w:val="32"/>
          <w:lang w:val="en-US" w:eastAsia="zh-CN"/>
        </w:rPr>
      </w:pPr>
      <w:r>
        <w:rPr>
          <w:rFonts w:hint="eastAsia" w:ascii="楷体_GB2312" w:hAnsi="楷体_GB2312" w:eastAsia="楷体_GB2312" w:cs="楷体_GB2312"/>
          <w:b/>
          <w:bCs/>
          <w:w w:val="100"/>
          <w:sz w:val="32"/>
          <w:szCs w:val="32"/>
          <w:lang w:val="en-US" w:eastAsia="zh-CN"/>
        </w:rPr>
        <w:t>（一）项目资金申报及批复情况</w:t>
      </w:r>
    </w:p>
    <w:p w14:paraId="39FF7D87">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按照全州旅游整合营销工作安排，由州文体旅游局统筹全州旅游宣传营销资金。2024年，我局向州旅游产业发展领导小组呈报了2024年营销工作方案，州旅游产业发展领导小组同意我局报送的2024年旅游宣传整合营销工作方案，并按照资金分配方案，给予达古冰川管理局2024年州本级重点旅游整合营销项目资金200万元。同时要求具体活动开展遵循市场原则，在实施中可灵活操作，但活动经费总额必须控制在原计划内。</w:t>
      </w:r>
    </w:p>
    <w:p w14:paraId="6B0E3284">
      <w:pPr>
        <w:keepNext w:val="0"/>
        <w:keepLines w:val="0"/>
        <w:pageBreakBefore w:val="0"/>
        <w:widowControl w:val="0"/>
        <w:numPr>
          <w:ilvl w:val="0"/>
          <w:numId w:val="0"/>
        </w:numPr>
        <w:kinsoku/>
        <w:wordWrap/>
        <w:overflowPunct/>
        <w:topLinePunct w:val="0"/>
        <w:autoSpaceDE/>
        <w:autoSpaceDN/>
        <w:bidi w:val="0"/>
        <w:snapToGrid/>
        <w:spacing w:line="480" w:lineRule="exact"/>
        <w:ind w:leftChars="0" w:firstLine="643" w:firstLineChars="200"/>
        <w:rPr>
          <w:rFonts w:hint="eastAsia" w:ascii="楷体_GB2312" w:hAnsi="楷体_GB2312" w:eastAsia="楷体_GB2312" w:cs="楷体_GB2312"/>
          <w:b/>
          <w:bCs/>
          <w:w w:val="100"/>
          <w:sz w:val="32"/>
          <w:szCs w:val="32"/>
          <w:lang w:val="en-US" w:eastAsia="zh-CN"/>
        </w:rPr>
      </w:pPr>
      <w:r>
        <w:rPr>
          <w:rFonts w:hint="eastAsia" w:ascii="楷体_GB2312" w:hAnsi="楷体_GB2312" w:eastAsia="楷体_GB2312" w:cs="楷体_GB2312"/>
          <w:b/>
          <w:bCs/>
          <w:w w:val="100"/>
          <w:sz w:val="32"/>
          <w:szCs w:val="32"/>
          <w:lang w:val="en-US" w:eastAsia="zh-CN"/>
        </w:rPr>
        <w:t>（二）项目绩效目标</w:t>
      </w:r>
    </w:p>
    <w:p w14:paraId="555F524A">
      <w:pPr>
        <w:keepNext w:val="0"/>
        <w:keepLines w:val="0"/>
        <w:pageBreakBefore w:val="0"/>
        <w:widowControl w:val="0"/>
        <w:kinsoku/>
        <w:wordWrap/>
        <w:overflowPunct/>
        <w:topLinePunct w:val="0"/>
        <w:autoSpaceDE/>
        <w:autoSpaceDN/>
        <w:bidi w:val="0"/>
        <w:adjustRightInd/>
        <w:snapToGrid/>
        <w:spacing w:line="480" w:lineRule="exact"/>
        <w:ind w:firstLine="707" w:firstLineChars="221"/>
        <w:textAlignment w:val="auto"/>
        <w:rPr>
          <w:rFonts w:hint="default" w:ascii="仿宋_GB2312" w:eastAsia="仿宋_GB2312"/>
          <w:sz w:val="32"/>
          <w:szCs w:val="32"/>
          <w:lang w:val="en-US"/>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项目主要突出品牌打造、专题宣传及渠道拓展。通过多项活动的整合发力，强化达古冰川景区的传统既有活动及节庆，同时又通过创新活动方式，提升营销精度及事件热度。全力实现景区游客及收入双增长。</w:t>
      </w:r>
    </w:p>
    <w:p w14:paraId="4B830B1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textAlignment w:val="auto"/>
        <w:rPr>
          <w:rFonts w:hint="eastAsia" w:ascii="楷体_GB2312" w:hAnsi="楷体_GB2312" w:eastAsia="楷体_GB2312" w:cs="楷体_GB2312"/>
          <w:b/>
          <w:bCs/>
          <w:w w:val="100"/>
          <w:sz w:val="32"/>
          <w:szCs w:val="32"/>
          <w:lang w:val="en-US" w:eastAsia="zh-CN"/>
        </w:rPr>
      </w:pPr>
      <w:r>
        <w:rPr>
          <w:rFonts w:hint="eastAsia" w:ascii="楷体_GB2312" w:hAnsi="楷体_GB2312" w:eastAsia="楷体_GB2312" w:cs="楷体_GB2312"/>
          <w:b/>
          <w:bCs/>
          <w:w w:val="100"/>
          <w:sz w:val="32"/>
          <w:szCs w:val="32"/>
          <w:lang w:val="en-US" w:eastAsia="zh-CN"/>
        </w:rPr>
        <w:t>（三）项目资金申报相符性</w:t>
      </w:r>
    </w:p>
    <w:p w14:paraId="71CF1643">
      <w:pPr>
        <w:pStyle w:val="24"/>
        <w:keepNext w:val="0"/>
        <w:keepLines w:val="0"/>
        <w:pageBreakBefore w:val="0"/>
        <w:widowControl w:val="0"/>
        <w:numPr>
          <w:ilvl w:val="0"/>
          <w:numId w:val="0"/>
        </w:numPr>
        <w:kinsoku/>
        <w:wordWrap/>
        <w:overflowPunct/>
        <w:topLinePunct w:val="0"/>
        <w:autoSpaceDE/>
        <w:autoSpaceDN/>
        <w:bidi w:val="0"/>
        <w:snapToGrid/>
        <w:spacing w:line="480" w:lineRule="exact"/>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lang w:val="en-US" w:eastAsia="zh-CN"/>
        </w:rPr>
        <w:t xml:space="preserve">      </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 xml:space="preserve"> 2024年达古冰川管理局营销资金申报内容与项目具体实施内容高度吻合，且申报目标合理可行，为达古冰川景区旅游发展，提升人气，振兴市场打下基础。</w:t>
      </w:r>
    </w:p>
    <w:p w14:paraId="5ACE1B28">
      <w:pPr>
        <w:pStyle w:val="24"/>
        <w:keepNext w:val="0"/>
        <w:keepLines w:val="0"/>
        <w:pageBreakBefore w:val="0"/>
        <w:widowControl w:val="0"/>
        <w:numPr>
          <w:ilvl w:val="0"/>
          <w:numId w:val="0"/>
        </w:numPr>
        <w:kinsoku/>
        <w:wordWrap/>
        <w:overflowPunct/>
        <w:topLinePunct w:val="0"/>
        <w:autoSpaceDE/>
        <w:autoSpaceDN/>
        <w:bidi w:val="0"/>
        <w:snapToGrid/>
        <w:spacing w:line="480" w:lineRule="exact"/>
        <w:ind w:firstLine="640" w:firstLineChars="200"/>
        <w:rPr>
          <w:rFonts w:hint="eastAsia" w:ascii="黑体" w:hAnsi="黑体" w:eastAsia="黑体" w:cs="黑体"/>
          <w:w w:val="100"/>
          <w:sz w:val="32"/>
          <w:szCs w:val="32"/>
          <w:lang w:val="en-US" w:eastAsia="zh-CN"/>
        </w:rPr>
      </w:pPr>
      <w:r>
        <w:rPr>
          <w:rFonts w:hint="eastAsia" w:ascii="黑体" w:hAnsi="黑体" w:eastAsia="黑体" w:cs="黑体"/>
          <w:w w:val="100"/>
          <w:sz w:val="32"/>
          <w:szCs w:val="32"/>
          <w:lang w:val="en-US" w:eastAsia="zh-CN"/>
        </w:rPr>
        <w:t>二、项目实施及管理情况</w:t>
      </w:r>
    </w:p>
    <w:p w14:paraId="0164BEEF">
      <w:pPr>
        <w:keepNext w:val="0"/>
        <w:keepLines w:val="0"/>
        <w:pageBreakBefore w:val="0"/>
        <w:widowControl w:val="0"/>
        <w:numPr>
          <w:ilvl w:val="0"/>
          <w:numId w:val="0"/>
        </w:numPr>
        <w:kinsoku/>
        <w:wordWrap/>
        <w:overflowPunct/>
        <w:topLinePunct w:val="0"/>
        <w:autoSpaceDE/>
        <w:autoSpaceDN/>
        <w:bidi w:val="0"/>
        <w:snapToGrid/>
        <w:spacing w:line="480" w:lineRule="exact"/>
        <w:ind w:left="160" w:leftChars="0" w:firstLine="321" w:firstLineChars="100"/>
        <w:rPr>
          <w:rFonts w:hint="eastAsia" w:ascii="楷体_GB2312" w:hAnsi="楷体_GB2312" w:eastAsia="楷体_GB2312" w:cs="楷体_GB2312"/>
          <w:b/>
          <w:bCs/>
          <w:w w:val="100"/>
          <w:sz w:val="32"/>
          <w:szCs w:val="32"/>
          <w:lang w:val="en-US" w:eastAsia="zh-CN"/>
        </w:rPr>
      </w:pPr>
      <w:r>
        <w:rPr>
          <w:rFonts w:hint="eastAsia" w:ascii="楷体_GB2312" w:hAnsi="楷体_GB2312" w:eastAsia="楷体_GB2312" w:cs="楷体_GB2312"/>
          <w:b/>
          <w:bCs/>
          <w:w w:val="100"/>
          <w:sz w:val="32"/>
          <w:szCs w:val="32"/>
          <w:lang w:val="en-US" w:eastAsia="zh-CN"/>
        </w:rPr>
        <w:t>（一）资金计划、到位及使用情况</w:t>
      </w:r>
    </w:p>
    <w:p w14:paraId="6C37ED47">
      <w:pPr>
        <w:pStyle w:val="24"/>
        <w:keepNext w:val="0"/>
        <w:keepLines w:val="0"/>
        <w:pageBreakBefore w:val="0"/>
        <w:widowControl w:val="0"/>
        <w:kinsoku/>
        <w:wordWrap/>
        <w:overflowPunct/>
        <w:topLinePunct w:val="0"/>
        <w:autoSpaceDE/>
        <w:autoSpaceDN/>
        <w:bidi w:val="0"/>
        <w:snapToGrid/>
        <w:spacing w:line="480" w:lineRule="exact"/>
        <w:ind w:firstLine="641"/>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仿宋_GB2312" w:hAnsi="Calibri" w:eastAsia="仿宋_GB2312" w:cs="Times New Roman"/>
          <w:b/>
          <w:bCs/>
          <w:kern w:val="2"/>
          <w:sz w:val="32"/>
          <w:szCs w:val="32"/>
          <w:lang w:val="en-US" w:eastAsia="zh-CN" w:bidi="ar-SA"/>
        </w:rPr>
        <w:t>1.资金到位情况：</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2024年项目批复资金200万元，资金到位200万元。全部为财政资金，资金到位及时，资金到位率100%。</w:t>
      </w:r>
    </w:p>
    <w:p w14:paraId="5D547AB4">
      <w:pPr>
        <w:pStyle w:val="24"/>
        <w:keepNext w:val="0"/>
        <w:keepLines w:val="0"/>
        <w:pageBreakBefore w:val="0"/>
        <w:widowControl w:val="0"/>
        <w:kinsoku/>
        <w:wordWrap/>
        <w:overflowPunct/>
        <w:topLinePunct w:val="0"/>
        <w:autoSpaceDE/>
        <w:autoSpaceDN/>
        <w:bidi w:val="0"/>
        <w:snapToGrid/>
        <w:spacing w:line="480" w:lineRule="exact"/>
        <w:ind w:firstLine="641"/>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仿宋_GB2312" w:hAnsi="Calibri" w:eastAsia="仿宋_GB2312" w:cs="Times New Roman"/>
          <w:b/>
          <w:bCs/>
          <w:kern w:val="2"/>
          <w:sz w:val="32"/>
          <w:szCs w:val="32"/>
          <w:lang w:val="en-US" w:eastAsia="zh-CN" w:bidi="ar-SA"/>
        </w:rPr>
        <w:t>2.资金使用情况：</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2024年支付营销经费199.99万元，使用率达100%。主要用于产品线路优化升级、宣传营销多渠道拓展、主题活动持续创新、跨界营销多元创新方面。</w:t>
      </w:r>
    </w:p>
    <w:p w14:paraId="6696A2A7">
      <w:pPr>
        <w:keepNext w:val="0"/>
        <w:keepLines w:val="0"/>
        <w:pageBreakBefore w:val="0"/>
        <w:widowControl w:val="0"/>
        <w:numPr>
          <w:ilvl w:val="0"/>
          <w:numId w:val="0"/>
        </w:numPr>
        <w:kinsoku/>
        <w:wordWrap/>
        <w:overflowPunct/>
        <w:topLinePunct w:val="0"/>
        <w:autoSpaceDE/>
        <w:autoSpaceDN/>
        <w:bidi w:val="0"/>
        <w:snapToGrid/>
        <w:spacing w:line="480" w:lineRule="exact"/>
        <w:ind w:firstLine="643" w:firstLineChars="200"/>
        <w:rPr>
          <w:rFonts w:hint="eastAsia" w:ascii="楷体_GB2312" w:hAnsi="楷体_GB2312" w:eastAsia="楷体_GB2312" w:cs="楷体_GB2312"/>
          <w:b/>
          <w:bCs/>
          <w:w w:val="100"/>
          <w:sz w:val="32"/>
          <w:szCs w:val="32"/>
          <w:lang w:val="en-US" w:eastAsia="zh-CN"/>
        </w:rPr>
      </w:pPr>
      <w:r>
        <w:rPr>
          <w:rFonts w:hint="eastAsia" w:ascii="楷体_GB2312" w:hAnsi="楷体_GB2312" w:eastAsia="楷体_GB2312" w:cs="楷体_GB2312"/>
          <w:b/>
          <w:bCs/>
          <w:w w:val="100"/>
          <w:sz w:val="32"/>
          <w:szCs w:val="32"/>
          <w:lang w:val="en-US" w:eastAsia="zh-CN"/>
        </w:rPr>
        <w:t>（二）项目财务管理情况</w:t>
      </w:r>
    </w:p>
    <w:p w14:paraId="0D7154AB">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 xml:space="preserve"> 项目资金严格按照单位财务管理制度和预算支出范围使用，做到专项管理、专款专用。单位财务管理制度健全，账务处理及时，会计核算规范。</w:t>
      </w:r>
    </w:p>
    <w:p w14:paraId="0C1B6D26">
      <w:pPr>
        <w:keepNext w:val="0"/>
        <w:keepLines w:val="0"/>
        <w:pageBreakBefore w:val="0"/>
        <w:widowControl w:val="0"/>
        <w:numPr>
          <w:ilvl w:val="0"/>
          <w:numId w:val="6"/>
        </w:numPr>
        <w:kinsoku/>
        <w:wordWrap/>
        <w:overflowPunct/>
        <w:topLinePunct w:val="0"/>
        <w:autoSpaceDE/>
        <w:autoSpaceDN/>
        <w:bidi w:val="0"/>
        <w:snapToGrid/>
        <w:spacing w:line="480" w:lineRule="exact"/>
        <w:ind w:firstLine="643" w:firstLineChars="200"/>
        <w:rPr>
          <w:rFonts w:hint="eastAsia" w:ascii="楷体_GB2312" w:hAnsi="楷体_GB2312" w:eastAsia="楷体_GB2312" w:cs="楷体_GB2312"/>
          <w:b/>
          <w:bCs/>
          <w:w w:val="100"/>
          <w:sz w:val="32"/>
          <w:szCs w:val="32"/>
          <w:lang w:val="en-US" w:eastAsia="zh-CN"/>
        </w:rPr>
      </w:pPr>
      <w:r>
        <w:rPr>
          <w:rFonts w:hint="eastAsia" w:ascii="楷体_GB2312" w:hAnsi="楷体_GB2312" w:eastAsia="楷体_GB2312" w:cs="楷体_GB2312"/>
          <w:b/>
          <w:bCs/>
          <w:w w:val="100"/>
          <w:sz w:val="32"/>
          <w:szCs w:val="32"/>
          <w:lang w:val="en-US" w:eastAsia="zh-CN"/>
        </w:rPr>
        <w:t>项目组织实施情况</w:t>
      </w:r>
    </w:p>
    <w:p w14:paraId="75BF5F3F">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2024年，我局作为旅游宣传营销的主要实施单位，开展了2024年线上社交平台宣传推广；整合网络达人宣传推广活动；达古冰川营销推广内容采编及宣传策划服务；省内二级市场推广、达古保护计划在达古回响艺术节；知名作家达古冰川文学创作采风；分享四川人反季节旅游天花板达古范儿；天府新区摄影采风活动；成都、重庆、广州旅行社座谈会等24项宣传营销活动，继续在公路沿线投放形象广告，继续与各大旅行社开展深度合作，全面实施“旅游+媒体”战略，积极开拓外地客源市场。</w:t>
      </w:r>
    </w:p>
    <w:p w14:paraId="7704A763">
      <w:pPr>
        <w:keepNext w:val="0"/>
        <w:keepLines w:val="0"/>
        <w:pageBreakBefore w:val="0"/>
        <w:widowControl w:val="0"/>
        <w:kinsoku/>
        <w:wordWrap/>
        <w:overflowPunct/>
        <w:topLinePunct w:val="0"/>
        <w:autoSpaceDE/>
        <w:autoSpaceDN/>
        <w:bidi w:val="0"/>
        <w:snapToGrid/>
        <w:spacing w:line="480" w:lineRule="exact"/>
        <w:ind w:firstLine="640" w:firstLineChars="200"/>
        <w:rPr>
          <w:rFonts w:hint="default" w:ascii="黑体" w:hAnsi="黑体" w:eastAsia="黑体" w:cs="黑体"/>
          <w:w w:val="100"/>
          <w:sz w:val="32"/>
          <w:szCs w:val="32"/>
          <w:lang w:val="en-US" w:eastAsia="zh-CN"/>
        </w:rPr>
      </w:pPr>
      <w:r>
        <w:rPr>
          <w:rFonts w:hint="eastAsia" w:ascii="仿宋_GB2312" w:hAnsi="Arial" w:eastAsia="仿宋_GB2312" w:cs="Times New Roman"/>
          <w:color w:val="FF0000"/>
          <w:kern w:val="0"/>
          <w:sz w:val="32"/>
          <w:szCs w:val="32"/>
          <w:lang w:val="en-US" w:eastAsia="zh-CN" w:bidi="ar-SA"/>
        </w:rPr>
        <w:t xml:space="preserve">  </w:t>
      </w:r>
      <w:r>
        <w:rPr>
          <w:rFonts w:hint="eastAsia" w:ascii="黑体" w:hAnsi="黑体" w:eastAsia="黑体" w:cs="黑体"/>
          <w:w w:val="100"/>
          <w:sz w:val="32"/>
          <w:szCs w:val="32"/>
          <w:lang w:val="en-US" w:eastAsia="zh-CN"/>
        </w:rPr>
        <w:t xml:space="preserve">三、项目绩效情况  </w:t>
      </w:r>
    </w:p>
    <w:p w14:paraId="3C2725B0">
      <w:pPr>
        <w:keepNext w:val="0"/>
        <w:keepLines w:val="0"/>
        <w:pageBreakBefore w:val="0"/>
        <w:widowControl w:val="0"/>
        <w:numPr>
          <w:ilvl w:val="0"/>
          <w:numId w:val="0"/>
        </w:numPr>
        <w:kinsoku/>
        <w:wordWrap/>
        <w:overflowPunct/>
        <w:topLinePunct w:val="0"/>
        <w:autoSpaceDE/>
        <w:autoSpaceDN/>
        <w:bidi w:val="0"/>
        <w:snapToGrid/>
        <w:spacing w:line="480" w:lineRule="exact"/>
        <w:ind w:firstLine="643" w:firstLineChars="200"/>
        <w:rPr>
          <w:rFonts w:hint="eastAsia" w:ascii="楷体_GB2312" w:hAnsi="楷体_GB2312" w:eastAsia="楷体_GB2312" w:cs="楷体_GB2312"/>
          <w:b/>
          <w:bCs/>
          <w:w w:val="100"/>
          <w:sz w:val="32"/>
          <w:szCs w:val="32"/>
          <w:lang w:val="en-US" w:eastAsia="zh-CN"/>
        </w:rPr>
      </w:pPr>
      <w:r>
        <w:rPr>
          <w:rFonts w:hint="eastAsia" w:ascii="楷体_GB2312" w:hAnsi="楷体_GB2312" w:eastAsia="楷体_GB2312" w:cs="楷体_GB2312"/>
          <w:b/>
          <w:bCs/>
          <w:w w:val="100"/>
          <w:sz w:val="32"/>
          <w:szCs w:val="32"/>
          <w:lang w:val="en-US" w:eastAsia="zh-CN"/>
        </w:rPr>
        <w:t>（一）项目完成情况</w:t>
      </w:r>
    </w:p>
    <w:p w14:paraId="63B52579">
      <w:pPr>
        <w:pStyle w:val="19"/>
        <w:keepNext w:val="0"/>
        <w:keepLines w:val="0"/>
        <w:pageBreakBefore w:val="0"/>
        <w:widowControl w:val="0"/>
        <w:numPr>
          <w:ilvl w:val="0"/>
          <w:numId w:val="0"/>
        </w:numPr>
        <w:kinsoku/>
        <w:wordWrap/>
        <w:overflowPunct/>
        <w:topLinePunct w:val="0"/>
        <w:autoSpaceDE/>
        <w:autoSpaceDN/>
        <w:bidi w:val="0"/>
        <w:snapToGrid/>
        <w:spacing w:line="480" w:lineRule="exact"/>
        <w:ind w:left="643" w:leftChars="0"/>
        <w:rPr>
          <w:rFonts w:ascii="仿宋_GB2312" w:eastAsia="仿宋_GB2312"/>
          <w:b/>
          <w:sz w:val="32"/>
          <w:szCs w:val="32"/>
        </w:rPr>
      </w:pPr>
      <w:r>
        <w:rPr>
          <w:rFonts w:hint="eastAsia" w:ascii="仿宋_GB2312" w:eastAsia="仿宋_GB2312"/>
          <w:b/>
          <w:sz w:val="32"/>
          <w:szCs w:val="32"/>
          <w:lang w:val="en-US" w:eastAsia="zh-CN"/>
        </w:rPr>
        <w:t>1、</w:t>
      </w:r>
      <w:r>
        <w:rPr>
          <w:rFonts w:hint="eastAsia" w:ascii="仿宋_GB2312" w:eastAsia="仿宋_GB2312"/>
          <w:b/>
          <w:sz w:val="32"/>
          <w:szCs w:val="32"/>
        </w:rPr>
        <w:t>产品线路优化升级</w:t>
      </w:r>
    </w:p>
    <w:p w14:paraId="6A238DED">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着力打响以“最近的遥远”为核心的“四季达古 四季精彩”旅游品牌。开展全媒体、各类新闻、宣传品、广告等多种形式推广“春赏花玩雪、夏避暑戏水、秋红叶彩林、冬冰雪世界”多条精品旅游线路并受到广大游客及旅行社认同。</w:t>
      </w:r>
    </w:p>
    <w:p w14:paraId="154D9D2E">
      <w:pPr>
        <w:pStyle w:val="19"/>
        <w:keepNext w:val="0"/>
        <w:keepLines w:val="0"/>
        <w:pageBreakBefore w:val="0"/>
        <w:widowControl w:val="0"/>
        <w:numPr>
          <w:ilvl w:val="0"/>
          <w:numId w:val="0"/>
        </w:numPr>
        <w:kinsoku/>
        <w:wordWrap/>
        <w:overflowPunct/>
        <w:topLinePunct w:val="0"/>
        <w:autoSpaceDE/>
        <w:autoSpaceDN/>
        <w:bidi w:val="0"/>
        <w:snapToGrid/>
        <w:spacing w:line="480" w:lineRule="exact"/>
        <w:ind w:left="643" w:leftChars="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渠道拓展稳固有序</w:t>
      </w:r>
    </w:p>
    <w:p w14:paraId="46C6A245">
      <w:pPr>
        <w:pStyle w:val="6"/>
        <w:pageBreakBefore w:val="0"/>
        <w:tabs>
          <w:tab w:val="left" w:pos="2160"/>
        </w:tabs>
        <w:kinsoku/>
        <w:wordWrap/>
        <w:overflowPunct/>
        <w:topLinePunct w:val="0"/>
        <w:bidi w:val="0"/>
        <w:spacing w:beforeLines="0" w:line="480" w:lineRule="exact"/>
        <w:ind w:firstLine="640" w:firstLineChars="200"/>
        <w:jc w:val="left"/>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在省内各地市州、主要的地级市、省外客源地大城市举行专题推介会 ，把在景区的各种活动以及热闹的场景，用照片和视频等形式进行展示，并宣布景区新的政策。同时，针对不同地区的客群，设计相对应的达古冰川旅游产品，吸引旅行商社组团，包括红培团建产品、 自驾游亲子产品、中老年康养产品、冰川研学产品等。2024年已陆续在成都、西安、广州以及成都周边城市进行了专题推介，取得了良好的效果。累计发放各类宣传资料5万余份，播放各类宣传片2万余次。重点组团人次过千旅行社14家：四川玩多多国旅、省中国国际旅行社红牌楼分社、成都如果旅行社、成都中国旅行社西南分社、成都环球国旅金牛28分社。广东市场占省外游客数量首位，达到28179，入境游客近25546人次，同比增长311％。</w:t>
      </w:r>
    </w:p>
    <w:p w14:paraId="2379A770">
      <w:pPr>
        <w:pStyle w:val="19"/>
        <w:keepNext w:val="0"/>
        <w:keepLines w:val="0"/>
        <w:pageBreakBefore w:val="0"/>
        <w:widowControl w:val="0"/>
        <w:numPr>
          <w:ilvl w:val="0"/>
          <w:numId w:val="0"/>
        </w:numPr>
        <w:kinsoku/>
        <w:wordWrap/>
        <w:overflowPunct/>
        <w:topLinePunct w:val="0"/>
        <w:autoSpaceDE/>
        <w:autoSpaceDN/>
        <w:bidi w:val="0"/>
        <w:snapToGrid/>
        <w:spacing w:line="480" w:lineRule="exact"/>
        <w:ind w:left="643" w:leftChars="0"/>
        <w:rPr>
          <w:rFonts w:ascii="仿宋_GB2312" w:eastAsia="仿宋_GB2312"/>
          <w:bCs/>
          <w:sz w:val="32"/>
          <w:szCs w:val="32"/>
        </w:rPr>
      </w:pPr>
      <w:r>
        <w:rPr>
          <w:rFonts w:hint="eastAsia" w:ascii="仿宋_GB2312" w:hAnsi="仿宋_GB2312" w:eastAsia="仿宋_GB2312" w:cs="仿宋_GB2312"/>
          <w:b/>
          <w:bCs/>
          <w:color w:val="000000"/>
          <w:sz w:val="32"/>
          <w:szCs w:val="32"/>
          <w:lang w:val="en-US" w:eastAsia="zh-CN"/>
        </w:rPr>
        <w:t>3、</w:t>
      </w:r>
      <w:r>
        <w:rPr>
          <w:rFonts w:hint="eastAsia" w:ascii="仿宋_GB2312" w:hAnsi="仿宋_GB2312" w:eastAsia="仿宋_GB2312" w:cs="仿宋_GB2312"/>
          <w:b/>
          <w:bCs/>
          <w:color w:val="000000"/>
          <w:sz w:val="32"/>
          <w:szCs w:val="32"/>
        </w:rPr>
        <w:t>主题活动</w:t>
      </w:r>
      <w:r>
        <w:rPr>
          <w:rFonts w:hint="eastAsia" w:ascii="仿宋_GB2312" w:hAnsi="仿宋_GB2312" w:eastAsia="仿宋_GB2312" w:cs="仿宋_GB2312"/>
          <w:b/>
          <w:bCs/>
          <w:sz w:val="32"/>
          <w:szCs w:val="32"/>
        </w:rPr>
        <w:t>持续创新</w:t>
      </w:r>
    </w:p>
    <w:p w14:paraId="2D119C93">
      <w:pPr>
        <w:pageBreakBefore w:val="0"/>
        <w:kinsoku/>
        <w:wordWrap/>
        <w:overflowPunct/>
        <w:topLinePunct w:val="0"/>
        <w:bidi w:val="0"/>
        <w:spacing w:line="480" w:lineRule="exact"/>
        <w:ind w:firstLine="640" w:firstLineChars="200"/>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基于“最近的遥远”营销主题，优化和统一景区对外宣传品牌调性：为全面展示“网红、好客、研学之州”旅游名片，将“网红打卡”升级为“体验打卡”，在经费和条件有限的情况下，我们群策群力，提出“四季达古 四季精彩”的营销主题，整体规划、分项实施，逐步实现让游客在景区除了拍照打卡外，还能在玩起来、互动起来、体验起来、甚至共情起来，给到游客在其他景区没有的体验，让景区持续焕发新的生命力。一是全新设计了“最近的遥远”主题户外广告画面。将景区的旅游资源和产品融入到画面中，统领后续延展物料，形成视觉统一；二是更新所有宣传物料设计。基于最近的遥远主题及视觉，更新了DM单、折页、推介会宣讲PPT的设计。整合媒体矩阵，探寻更“红”的互联网营销活动：在全年以“最近的遥远”为主题的布局下，以官方微信微博及抖音为重点的新媒体矩阵全面发力,同时加强与主流媒体的联合宣传报道力度，进一步满足游客对资讯和游玩方式个性化需求,为营销工作拓展空间。2024年，开展了2024年线上社交平台宣传推广；整合网络达人宣传推广活动”等以互联网为主的主题活动24次。官方微信（含视频号）推送信息460篇，平均每条文章的送达数为64320人次、平均图文页阅读数1156人次，微信粉丝数量为67413人，同比增涨20%；官方微博发布信息694条，阅读量达到169.3万人次；头条号推送消息245条，阅读总量为1365805人次；小红书推送328条，阅读总量为192208人次；抖音推送短视频195条，平均播放量为3174696人次；搜狐号推送163条，阅读总量为19936人次；百家号推送162条，阅读量为147196人次；四川观察推送42条，阅读总量为226214人次；B站推送92条，播放量为12604人次。依托中国网、央广网、中新网、四川观察、四川日报、川观新闻、阿坝日报、 州县融媒体中心等,  构建起立体的宣传营销网络。让景区宣传呈现多渠道、 多平台、频互动、多曝光的良好格局。合计推送报道372余条,  其中在央视频中国舆论场:“来达古冰川,赴一场高海 拔的冰雪之约N短视频观看人次达207.8万次;在 "早早安·中中国”栏目播出四川·达古冰川视频观看人次达389.4万次。依托中央电视台、四川电视台等主流电视媒体开展了新闻、采访、直播等推广工作推广工作宣传22条。通过四川省文旅厅微信视频号慢直播景区实时旅游资源16次。并通过省文旅厅官方媒体矩阵推送景区旅游视频和图文资源32条。</w:t>
      </w:r>
    </w:p>
    <w:p w14:paraId="557D0B18">
      <w:pPr>
        <w:pStyle w:val="19"/>
        <w:keepNext w:val="0"/>
        <w:keepLines w:val="0"/>
        <w:pageBreakBefore w:val="0"/>
        <w:widowControl w:val="0"/>
        <w:numPr>
          <w:ilvl w:val="0"/>
          <w:numId w:val="0"/>
        </w:numPr>
        <w:kinsoku/>
        <w:wordWrap/>
        <w:overflowPunct/>
        <w:topLinePunct w:val="0"/>
        <w:autoSpaceDE/>
        <w:autoSpaceDN/>
        <w:bidi w:val="0"/>
        <w:snapToGrid/>
        <w:spacing w:line="480" w:lineRule="exact"/>
        <w:ind w:left="643" w:leftChars="0"/>
        <w:jc w:val="left"/>
        <w:rPr>
          <w:rFonts w:ascii="仿宋_GB2312" w:eastAsia="仿宋_GB2312"/>
          <w:b/>
          <w:bCs/>
          <w:sz w:val="32"/>
          <w:szCs w:val="32"/>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对外</w:t>
      </w:r>
      <w:r>
        <w:rPr>
          <w:rFonts w:hint="eastAsia" w:ascii="仿宋_GB2312" w:eastAsia="仿宋_GB2312"/>
          <w:b/>
          <w:bCs/>
          <w:sz w:val="32"/>
          <w:szCs w:val="32"/>
        </w:rPr>
        <w:t>宣传积极有效</w:t>
      </w:r>
    </w:p>
    <w:p w14:paraId="6A12E11D">
      <w:pPr>
        <w:pStyle w:val="6"/>
        <w:pageBreakBefore w:val="0"/>
        <w:tabs>
          <w:tab w:val="left" w:pos="2160"/>
        </w:tabs>
        <w:kinsoku/>
        <w:wordWrap/>
        <w:overflowPunct/>
        <w:topLinePunct w:val="0"/>
        <w:bidi w:val="0"/>
        <w:spacing w:beforeLines="0" w:line="480" w:lineRule="exact"/>
        <w:ind w:firstLine="640" w:firstLineChars="200"/>
        <w:jc w:val="left"/>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一是充分利用各类资源。在州内4处公路大牌，长期开展形象宣传工作；二是充分整合媒体资源，在重要节点集中进行“媒体轰炸”。通过四川交通广播101.7、四川旅游生活广播共计投放50天、200余次的口播广告并开展电话连线3次，专题访问3次；在重庆高铁东环线嵌入式广告灯箱广告，24小时全天展播，发布时间为1年。在其他合作的网络、自媒体开展主题内容宣传报道1250余条，半年直接浏览量近3345.2万次；三是与黑水县融媒体中心互动，提升宣传效果，并做好了景区媒体采访考察对接。提供新闻等信息登上黑水电视台2条、阿坝州电视台1条、中央电视台3条，“学习强国”APP 26期，中国旅游报专刊1期。四是安排专人负责自媒体矩阵网络舆情监测，并及时处理。五是强化景区自媒体宣传力度，在自媒体矩阵陆续推送有关达古冰川的诗歌(20)期、散文、长征故事(20)期、民俗、图画等方面文章, 全方位展现达古冰川的文化内涵。</w:t>
      </w:r>
    </w:p>
    <w:p w14:paraId="50517DE8">
      <w:pPr>
        <w:pStyle w:val="24"/>
        <w:keepNext w:val="0"/>
        <w:keepLines w:val="0"/>
        <w:pageBreakBefore w:val="0"/>
        <w:widowControl w:val="0"/>
        <w:kinsoku/>
        <w:wordWrap/>
        <w:overflowPunct/>
        <w:topLinePunct w:val="0"/>
        <w:autoSpaceDE/>
        <w:autoSpaceDN/>
        <w:bidi w:val="0"/>
        <w:snapToGrid/>
        <w:spacing w:line="480" w:lineRule="exact"/>
        <w:ind w:firstLine="643" w:firstLineChars="200"/>
        <w:rPr>
          <w:rFonts w:hint="eastAsia" w:ascii="楷体_GB2312" w:hAnsi="楷体_GB2312" w:eastAsia="楷体_GB2312" w:cs="楷体_GB2312"/>
          <w:b/>
          <w:bCs/>
          <w:w w:val="100"/>
          <w:sz w:val="32"/>
          <w:szCs w:val="32"/>
          <w:lang w:val="en-US" w:eastAsia="zh-CN"/>
        </w:rPr>
      </w:pPr>
      <w:r>
        <w:rPr>
          <w:rFonts w:hint="eastAsia" w:ascii="楷体_GB2312" w:hAnsi="楷体_GB2312" w:eastAsia="楷体_GB2312" w:cs="楷体_GB2312"/>
          <w:b/>
          <w:bCs/>
          <w:w w:val="100"/>
          <w:sz w:val="32"/>
          <w:szCs w:val="32"/>
          <w:lang w:val="en-US" w:eastAsia="zh-CN"/>
        </w:rPr>
        <w:t>（二）项目效益情况</w:t>
      </w:r>
    </w:p>
    <w:p w14:paraId="74F2C75C">
      <w:pPr>
        <w:pageBreakBefore w:val="0"/>
        <w:kinsoku/>
        <w:wordWrap/>
        <w:overflowPunct/>
        <w:topLinePunct w:val="0"/>
        <w:bidi w:val="0"/>
        <w:spacing w:line="480" w:lineRule="exact"/>
        <w:ind w:firstLine="640" w:firstLineChars="200"/>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2024年共计完成各类营销活动24次，大小营销会议超过30次。达古冰川景区共接待游客23.83万人次，同比下降7.17%，实现景区综合收入7201.03万元，同比下降0.90%。其中门票收入1385.33万元，同比增长9.66%。</w:t>
      </w:r>
    </w:p>
    <w:p w14:paraId="7DFC7964">
      <w:pPr>
        <w:keepNext w:val="0"/>
        <w:keepLines w:val="0"/>
        <w:pageBreakBefore w:val="0"/>
        <w:widowControl w:val="0"/>
        <w:numPr>
          <w:ilvl w:val="0"/>
          <w:numId w:val="0"/>
        </w:numPr>
        <w:kinsoku/>
        <w:wordWrap/>
        <w:overflowPunct/>
        <w:topLinePunct w:val="0"/>
        <w:autoSpaceDE/>
        <w:autoSpaceDN/>
        <w:bidi w:val="0"/>
        <w:snapToGrid/>
        <w:spacing w:line="480" w:lineRule="exact"/>
        <w:ind w:firstLine="640" w:firstLineChars="200"/>
        <w:rPr>
          <w:rFonts w:hint="eastAsia" w:ascii="黑体" w:hAnsi="黑体" w:eastAsia="黑体" w:cs="黑体"/>
          <w:w w:val="100"/>
          <w:sz w:val="32"/>
          <w:szCs w:val="32"/>
          <w:lang w:val="en-US" w:eastAsia="zh-CN"/>
        </w:rPr>
      </w:pPr>
      <w:r>
        <w:rPr>
          <w:rFonts w:hint="eastAsia" w:ascii="黑体" w:hAnsi="黑体" w:eastAsia="黑体" w:cs="黑体"/>
          <w:w w:val="100"/>
          <w:sz w:val="32"/>
          <w:szCs w:val="32"/>
          <w:lang w:val="en-US" w:eastAsia="zh-CN"/>
        </w:rPr>
        <w:t>四、问题及建议</w:t>
      </w:r>
    </w:p>
    <w:p w14:paraId="60541B08">
      <w:pPr>
        <w:keepNext w:val="0"/>
        <w:keepLines w:val="0"/>
        <w:pageBreakBefore w:val="0"/>
        <w:widowControl w:val="0"/>
        <w:numPr>
          <w:ilvl w:val="0"/>
          <w:numId w:val="0"/>
        </w:numPr>
        <w:kinsoku/>
        <w:wordWrap/>
        <w:overflowPunct/>
        <w:topLinePunct w:val="0"/>
        <w:autoSpaceDE/>
        <w:autoSpaceDN/>
        <w:bidi w:val="0"/>
        <w:snapToGrid/>
        <w:spacing w:line="480" w:lineRule="exact"/>
        <w:ind w:firstLine="643" w:firstLineChars="200"/>
        <w:rPr>
          <w:rFonts w:hint="eastAsia" w:ascii="楷体_GB2312" w:hAnsi="楷体_GB2312" w:eastAsia="楷体_GB2312" w:cs="楷体_GB2312"/>
          <w:b/>
          <w:bCs/>
          <w:w w:val="100"/>
          <w:sz w:val="32"/>
          <w:szCs w:val="32"/>
          <w:lang w:val="en-US" w:eastAsia="zh-CN"/>
        </w:rPr>
      </w:pPr>
      <w:r>
        <w:rPr>
          <w:rFonts w:hint="eastAsia" w:ascii="楷体_GB2312" w:hAnsi="楷体_GB2312" w:eastAsia="楷体_GB2312" w:cs="楷体_GB2312"/>
          <w:b/>
          <w:bCs/>
          <w:w w:val="100"/>
          <w:sz w:val="32"/>
          <w:szCs w:val="32"/>
          <w:lang w:val="en-US" w:eastAsia="zh-CN"/>
        </w:rPr>
        <w:t xml:space="preserve">（一）存在的问题 </w:t>
      </w:r>
    </w:p>
    <w:p w14:paraId="65FADB66">
      <w:pPr>
        <w:pStyle w:val="19"/>
        <w:keepNext w:val="0"/>
        <w:keepLines w:val="0"/>
        <w:pageBreakBefore w:val="0"/>
        <w:widowControl w:val="0"/>
        <w:kinsoku/>
        <w:wordWrap/>
        <w:overflowPunct/>
        <w:topLinePunct w:val="0"/>
        <w:autoSpaceDE/>
        <w:autoSpaceDN/>
        <w:bidi w:val="0"/>
        <w:snapToGrid/>
        <w:spacing w:line="480" w:lineRule="exact"/>
        <w:ind w:firstLine="640"/>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1、资金短缺，在各类活动投入不足导致活动不能完全达到预期最佳效果。</w:t>
      </w:r>
    </w:p>
    <w:p w14:paraId="06AA2450">
      <w:pPr>
        <w:pStyle w:val="19"/>
        <w:keepNext w:val="0"/>
        <w:keepLines w:val="0"/>
        <w:pageBreakBefore w:val="0"/>
        <w:widowControl w:val="0"/>
        <w:kinsoku/>
        <w:wordWrap/>
        <w:overflowPunct/>
        <w:topLinePunct w:val="0"/>
        <w:autoSpaceDE/>
        <w:autoSpaceDN/>
        <w:bidi w:val="0"/>
        <w:snapToGrid/>
        <w:spacing w:line="480" w:lineRule="exact"/>
        <w:ind w:firstLine="640"/>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2、广告缺失，基本没有广告投放。</w:t>
      </w:r>
    </w:p>
    <w:p w14:paraId="69CF290A">
      <w:pPr>
        <w:pStyle w:val="19"/>
        <w:keepNext w:val="0"/>
        <w:keepLines w:val="0"/>
        <w:pageBreakBefore w:val="0"/>
        <w:widowControl w:val="0"/>
        <w:kinsoku/>
        <w:wordWrap/>
        <w:overflowPunct/>
        <w:topLinePunct w:val="0"/>
        <w:autoSpaceDE/>
        <w:autoSpaceDN/>
        <w:bidi w:val="0"/>
        <w:snapToGrid/>
        <w:spacing w:line="480" w:lineRule="exact"/>
        <w:ind w:firstLine="640"/>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3、区域合作度低。</w:t>
      </w:r>
    </w:p>
    <w:p w14:paraId="3EF76E0E">
      <w:pPr>
        <w:pStyle w:val="19"/>
        <w:keepNext w:val="0"/>
        <w:keepLines w:val="0"/>
        <w:pageBreakBefore w:val="0"/>
        <w:widowControl w:val="0"/>
        <w:kinsoku/>
        <w:wordWrap/>
        <w:overflowPunct/>
        <w:topLinePunct w:val="0"/>
        <w:autoSpaceDE/>
        <w:autoSpaceDN/>
        <w:bidi w:val="0"/>
        <w:snapToGrid/>
        <w:spacing w:line="480" w:lineRule="exact"/>
        <w:ind w:firstLine="640"/>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4、票务价格偏高，价格体系不灵活。</w:t>
      </w:r>
    </w:p>
    <w:p w14:paraId="4D7C6423">
      <w:pPr>
        <w:pStyle w:val="19"/>
        <w:keepNext w:val="0"/>
        <w:keepLines w:val="0"/>
        <w:pageBreakBefore w:val="0"/>
        <w:widowControl w:val="0"/>
        <w:kinsoku/>
        <w:wordWrap/>
        <w:overflowPunct/>
        <w:topLinePunct w:val="0"/>
        <w:autoSpaceDE/>
        <w:autoSpaceDN/>
        <w:bidi w:val="0"/>
        <w:snapToGrid/>
        <w:spacing w:line="480" w:lineRule="exact"/>
        <w:ind w:firstLine="640"/>
        <w:rPr>
          <w:rFonts w:hint="eastAsia" w:ascii="仿宋_GB2312" w:hAnsi="Times New Roman" w:eastAsia="仿宋_GB2312" w:cs="Times New Roman"/>
          <w:kern w:val="2"/>
          <w:position w:val="0"/>
          <w:sz w:val="32"/>
          <w:szCs w:val="32"/>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5、景区具体设施严重滞后，景区基础设施有待改进</w:t>
      </w:r>
      <w:r>
        <w:rPr>
          <w:rFonts w:hint="eastAsia" w:ascii="仿宋_GB2312" w:hAnsi="Times New Roman" w:eastAsia="仿宋_GB2312" w:cs="Times New Roman"/>
          <w:kern w:val="2"/>
          <w:position w:val="0"/>
          <w:sz w:val="32"/>
          <w:szCs w:val="32"/>
          <w:lang w:val="en-US" w:eastAsia="zh-CN" w:bidi="ar-SA"/>
        </w:rPr>
        <w:t>。</w:t>
      </w:r>
    </w:p>
    <w:p w14:paraId="6FC3F5E8">
      <w:pPr>
        <w:pStyle w:val="19"/>
        <w:keepNext w:val="0"/>
        <w:keepLines w:val="0"/>
        <w:pageBreakBefore w:val="0"/>
        <w:widowControl w:val="0"/>
        <w:kinsoku/>
        <w:wordWrap/>
        <w:overflowPunct/>
        <w:topLinePunct w:val="0"/>
        <w:autoSpaceDE/>
        <w:autoSpaceDN/>
        <w:bidi w:val="0"/>
        <w:snapToGrid/>
        <w:spacing w:line="480" w:lineRule="exact"/>
        <w:ind w:firstLine="640"/>
        <w:rPr>
          <w:rFonts w:hint="eastAsia" w:ascii="楷体_GB2312" w:hAnsi="楷体_GB2312" w:eastAsia="楷体_GB2312" w:cs="楷体_GB2312"/>
          <w:b/>
          <w:bCs/>
          <w:w w:val="100"/>
          <w:sz w:val="32"/>
          <w:szCs w:val="32"/>
          <w:lang w:val="en-US" w:eastAsia="zh-CN"/>
        </w:rPr>
      </w:pPr>
      <w:r>
        <w:rPr>
          <w:rFonts w:hint="eastAsia" w:ascii="楷体_GB2312" w:hAnsi="楷体_GB2312" w:eastAsia="楷体_GB2312" w:cs="楷体_GB2312"/>
          <w:b/>
          <w:bCs/>
          <w:w w:val="100"/>
          <w:sz w:val="32"/>
          <w:szCs w:val="32"/>
          <w:lang w:val="en-US" w:eastAsia="zh-CN"/>
        </w:rPr>
        <w:t>（二）相关建议</w:t>
      </w:r>
    </w:p>
    <w:p w14:paraId="75C9F528">
      <w:pPr>
        <w:keepNext w:val="0"/>
        <w:keepLines w:val="0"/>
        <w:pageBreakBefore w:val="0"/>
        <w:widowControl w:val="0"/>
        <w:kinsoku/>
        <w:wordWrap/>
        <w:overflowPunct/>
        <w:topLinePunct w:val="0"/>
        <w:autoSpaceDE/>
        <w:autoSpaceDN/>
        <w:bidi w:val="0"/>
        <w:snapToGrid/>
        <w:spacing w:line="480" w:lineRule="exact"/>
        <w:ind w:firstLine="645"/>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1、增加营销费用。</w:t>
      </w:r>
    </w:p>
    <w:p w14:paraId="4B6F49A3">
      <w:pPr>
        <w:keepNext w:val="0"/>
        <w:keepLines w:val="0"/>
        <w:pageBreakBefore w:val="0"/>
        <w:widowControl w:val="0"/>
        <w:kinsoku/>
        <w:wordWrap/>
        <w:overflowPunct/>
        <w:topLinePunct w:val="0"/>
        <w:autoSpaceDE/>
        <w:autoSpaceDN/>
        <w:bidi w:val="0"/>
        <w:snapToGrid/>
        <w:spacing w:line="480" w:lineRule="exact"/>
        <w:ind w:firstLine="645"/>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2、增加区域合作。</w:t>
      </w:r>
    </w:p>
    <w:p w14:paraId="6D1B3B13">
      <w:pPr>
        <w:keepNext w:val="0"/>
        <w:keepLines w:val="0"/>
        <w:pageBreakBefore w:val="0"/>
        <w:widowControl w:val="0"/>
        <w:kinsoku/>
        <w:wordWrap/>
        <w:overflowPunct/>
        <w:topLinePunct w:val="0"/>
        <w:autoSpaceDE/>
        <w:autoSpaceDN/>
        <w:bidi w:val="0"/>
        <w:snapToGrid/>
        <w:spacing w:line="480" w:lineRule="exact"/>
        <w:ind w:firstLine="645"/>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3、增强票务价格竞争力，增强票务自主机制。</w:t>
      </w:r>
    </w:p>
    <w:p w14:paraId="13915BC6">
      <w:pPr>
        <w:keepNext w:val="0"/>
        <w:keepLines w:val="0"/>
        <w:pageBreakBefore w:val="0"/>
        <w:widowControl w:val="0"/>
        <w:kinsoku/>
        <w:wordWrap/>
        <w:overflowPunct/>
        <w:topLinePunct w:val="0"/>
        <w:autoSpaceDE/>
        <w:autoSpaceDN/>
        <w:bidi w:val="0"/>
        <w:snapToGrid/>
        <w:spacing w:line="480" w:lineRule="exact"/>
        <w:ind w:firstLine="645"/>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pPr>
    </w:p>
    <w:p w14:paraId="41F42DAB">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eastAsia" w:ascii="Times New Roman" w:hAnsi="Times New Roman" w:eastAsia="方正小标宋简体" w:cs="Times New Roman"/>
          <w:color w:val="auto"/>
          <w:kern w:val="2"/>
          <w:sz w:val="44"/>
          <w:szCs w:val="44"/>
          <w:highlight w:val="none"/>
          <w:lang w:val="en-US" w:eastAsia="zh-CN"/>
        </w:rPr>
      </w:pPr>
      <w:r>
        <w:rPr>
          <w:rFonts w:hint="eastAsia" w:ascii="Times New Roman" w:hAnsi="Times New Roman" w:eastAsia="方正小标宋简体" w:cs="Times New Roman"/>
          <w:color w:val="auto"/>
          <w:kern w:val="2"/>
          <w:sz w:val="44"/>
          <w:szCs w:val="44"/>
          <w:highlight w:val="none"/>
          <w:lang w:val="en-US" w:eastAsia="zh-CN"/>
        </w:rPr>
        <w:t>著名画家画“冰川”主题宣传活动</w:t>
      </w:r>
    </w:p>
    <w:p w14:paraId="31C04587">
      <w:pPr>
        <w:pStyle w:val="23"/>
        <w:keepNext w:val="0"/>
        <w:keepLines w:val="0"/>
        <w:pageBreakBefore w:val="0"/>
        <w:widowControl w:val="0"/>
        <w:kinsoku/>
        <w:wordWrap/>
        <w:overflowPunct/>
        <w:topLinePunct w:val="0"/>
        <w:autoSpaceDE/>
        <w:autoSpaceDN/>
        <w:bidi w:val="0"/>
        <w:spacing w:line="480" w:lineRule="exact"/>
        <w:ind w:left="0" w:leftChars="0"/>
        <w:jc w:val="center"/>
        <w:textAlignment w:val="auto"/>
        <w:rPr>
          <w:rFonts w:hint="default" w:ascii="Times New Roman" w:hAnsi="Times New Roman" w:eastAsia="方正小标宋简体" w:cs="Times New Roman"/>
          <w:color w:val="auto"/>
          <w:kern w:val="2"/>
          <w:sz w:val="44"/>
          <w:szCs w:val="44"/>
          <w:highlight w:val="none"/>
          <w:lang w:val="en-US" w:eastAsia="zh-CN"/>
        </w:rPr>
      </w:pPr>
      <w:r>
        <w:rPr>
          <w:rFonts w:hint="default" w:ascii="Times New Roman" w:hAnsi="Times New Roman" w:eastAsia="方正小标宋简体" w:cs="Times New Roman"/>
          <w:color w:val="auto"/>
          <w:kern w:val="2"/>
          <w:sz w:val="44"/>
          <w:szCs w:val="44"/>
          <w:highlight w:val="none"/>
          <w:lang w:val="en-US" w:eastAsia="zh-CN"/>
        </w:rPr>
        <w:t>专项预算绩效自评报告</w:t>
      </w:r>
    </w:p>
    <w:p w14:paraId="6E15BF94">
      <w:pPr>
        <w:pStyle w:val="23"/>
        <w:keepNext w:val="0"/>
        <w:keepLines w:val="0"/>
        <w:pageBreakBefore w:val="0"/>
        <w:widowControl w:val="0"/>
        <w:kinsoku/>
        <w:wordWrap/>
        <w:overflowPunct/>
        <w:topLinePunct w:val="0"/>
        <w:autoSpaceDE/>
        <w:autoSpaceDN/>
        <w:bidi w:val="0"/>
        <w:spacing w:line="480" w:lineRule="exact"/>
        <w:ind w:left="0" w:leftChars="0" w:firstLine="640"/>
        <w:jc w:val="center"/>
        <w:textAlignment w:val="auto"/>
        <w:rPr>
          <w:rFonts w:hint="default" w:ascii="Times New Roman" w:hAnsi="Times New Roman" w:cs="Times New Roman"/>
          <w:color w:val="auto"/>
          <w:kern w:val="2"/>
          <w:sz w:val="32"/>
          <w:szCs w:val="32"/>
          <w:highlight w:val="none"/>
        </w:rPr>
      </w:pPr>
    </w:p>
    <w:p w14:paraId="7D31AEC1">
      <w:pPr>
        <w:keepNext w:val="0"/>
        <w:keepLines w:val="0"/>
        <w:pageBreakBefore w:val="0"/>
        <w:widowControl w:val="0"/>
        <w:numPr>
          <w:ilvl w:val="0"/>
          <w:numId w:val="0"/>
        </w:numPr>
        <w:kinsoku/>
        <w:wordWrap/>
        <w:overflowPunct/>
        <w:topLinePunct w:val="0"/>
        <w:autoSpaceDE/>
        <w:autoSpaceDN/>
        <w:bidi w:val="0"/>
        <w:snapToGrid/>
        <w:spacing w:line="480" w:lineRule="exact"/>
        <w:ind w:firstLine="640" w:firstLineChars="200"/>
        <w:rPr>
          <w:rFonts w:hint="default" w:ascii="黑体" w:hAnsi="黑体" w:eastAsia="黑体" w:cs="黑体"/>
          <w:w w:val="100"/>
          <w:sz w:val="32"/>
          <w:szCs w:val="32"/>
          <w:lang w:val="zh-CN" w:eastAsia="zh-CN"/>
        </w:rPr>
      </w:pPr>
      <w:r>
        <w:rPr>
          <w:rFonts w:hint="default" w:ascii="黑体" w:hAnsi="黑体" w:eastAsia="黑体" w:cs="黑体"/>
          <w:w w:val="100"/>
          <w:sz w:val="32"/>
          <w:szCs w:val="32"/>
          <w:lang w:val="en-US" w:eastAsia="zh-CN"/>
        </w:rPr>
        <w:t>一、</w:t>
      </w:r>
      <w:r>
        <w:rPr>
          <w:rFonts w:hint="default" w:ascii="黑体" w:hAnsi="黑体" w:eastAsia="黑体" w:cs="黑体"/>
          <w:w w:val="100"/>
          <w:sz w:val="32"/>
          <w:szCs w:val="32"/>
          <w:lang w:val="zh-CN" w:eastAsia="zh-CN"/>
        </w:rPr>
        <w:t>项目概况</w:t>
      </w:r>
    </w:p>
    <w:p w14:paraId="5A3D1842">
      <w:pPr>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0" w:leftChars="0" w:firstLine="643" w:firstLineChars="200"/>
        <w:contextualSpacing/>
        <w:jc w:val="left"/>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default" w:ascii="Times New Roman" w:hAnsi="Times New Roman" w:eastAsia="楷体_GB2312" w:cs="Times New Roman"/>
          <w:b/>
          <w:color w:val="auto"/>
          <w:sz w:val="32"/>
          <w:szCs w:val="32"/>
          <w:highlight w:val="none"/>
          <w:u w:val="none"/>
          <w:lang w:val="zh-CN"/>
        </w:rPr>
        <w:t>（一）设立背景及基本情况。</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达古冰川作为阿坝州“九大”旅游品牌之一，是我国纬度最北的海洋性山地冰川，也是最容易接近和到达的冰川，享有“冰川遗迹百花园”美称。虽然已有无数的摄影大师为他拍下美照，但为他留下墨宝的著名艺术家却为数极少。</w:t>
      </w:r>
    </w:p>
    <w:p w14:paraId="2CCBC515">
      <w:pPr>
        <w:keepNext w:val="0"/>
        <w:keepLines w:val="0"/>
        <w:pageBreakBefore w:val="0"/>
        <w:kinsoku/>
        <w:wordWrap/>
        <w:overflowPunct/>
        <w:topLinePunct w:val="0"/>
        <w:autoSpaceDE/>
        <w:autoSpaceDN/>
        <w:bidi w:val="0"/>
        <w:adjustRightInd w:val="0"/>
        <w:snapToGrid w:val="0"/>
        <w:spacing w:line="480" w:lineRule="exact"/>
        <w:ind w:left="0" w:leftChars="0" w:firstLine="643"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default" w:ascii="Times New Roman" w:hAnsi="Times New Roman" w:eastAsia="楷体_GB2312" w:cs="Times New Roman"/>
          <w:b/>
          <w:color w:val="auto"/>
          <w:sz w:val="32"/>
          <w:szCs w:val="32"/>
          <w:highlight w:val="none"/>
          <w:u w:val="none"/>
          <w:lang w:val="zh-CN"/>
        </w:rPr>
        <w:t>（二）</w:t>
      </w:r>
      <w:r>
        <w:rPr>
          <w:rFonts w:hint="default" w:ascii="Times New Roman" w:hAnsi="Times New Roman" w:eastAsia="楷体_GB2312" w:cs="Times New Roman"/>
          <w:b/>
          <w:color w:val="auto"/>
          <w:sz w:val="32"/>
          <w:szCs w:val="32"/>
          <w:highlight w:val="none"/>
          <w:u w:val="none"/>
          <w:lang w:val="en-US" w:eastAsia="zh-CN"/>
        </w:rPr>
        <w:t>实施目的及支持方向。</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组织全国数名著名画家针对“大冰川”进行艺术采风活动，创作出一批高水准的艺术作品，把达古冰川的独特魅力印在全国画家心中，把画家的艺术作品带向全世界，为“大冰川”品牌2024年宣传推广提供更多赋能，吸引各地游客前来游玩。</w:t>
      </w:r>
    </w:p>
    <w:p w14:paraId="1F86E56A">
      <w:pPr>
        <w:pageBreakBefore w:val="0"/>
        <w:kinsoku/>
        <w:wordWrap/>
        <w:overflowPunct/>
        <w:topLinePunct w:val="0"/>
        <w:bidi w:val="0"/>
        <w:spacing w:line="480" w:lineRule="exact"/>
        <w:ind w:firstLine="643" w:firstLineChars="200"/>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pPr>
      <w:r>
        <w:rPr>
          <w:rFonts w:hint="default" w:ascii="Times New Roman" w:hAnsi="Times New Roman" w:eastAsia="楷体_GB2312" w:cs="Times New Roman"/>
          <w:b/>
          <w:color w:val="auto"/>
          <w:sz w:val="32"/>
          <w:szCs w:val="32"/>
          <w:highlight w:val="none"/>
          <w:u w:val="none"/>
          <w:lang w:val="zh-CN" w:eastAsia="zh-CN"/>
        </w:rPr>
        <w:t>（三）</w:t>
      </w:r>
      <w:r>
        <w:rPr>
          <w:rFonts w:hint="default" w:ascii="Times New Roman" w:hAnsi="Times New Roman" w:eastAsia="楷体_GB2312" w:cs="Times New Roman"/>
          <w:b/>
          <w:color w:val="auto"/>
          <w:sz w:val="32"/>
          <w:szCs w:val="32"/>
          <w:highlight w:val="none"/>
          <w:u w:val="none"/>
          <w:lang w:val="en-US" w:eastAsia="zh-CN"/>
        </w:rPr>
        <w:t>预算安排及分配管理</w:t>
      </w:r>
      <w:r>
        <w:rPr>
          <w:rFonts w:hint="default" w:ascii="Times New Roman" w:hAnsi="Times New Roman" w:eastAsia="楷体_GB2312" w:cs="Times New Roman"/>
          <w:b/>
          <w:color w:val="auto"/>
          <w:sz w:val="32"/>
          <w:szCs w:val="32"/>
          <w:highlight w:val="none"/>
          <w:u w:val="none"/>
          <w:lang w:val="zh-CN" w:eastAsia="zh-CN"/>
        </w:rPr>
        <w:t>。</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通过画家画“冰川”大型采风和画展宣传活动让更多的人了解“大冰川”品牌, 有效提升“大冰川”品牌知名度, 并调动全国著名画家全方位宣传推广“大冰川”。</w:t>
      </w:r>
    </w:p>
    <w:p w14:paraId="6092EDE6">
      <w:pPr>
        <w:keepNext w:val="0"/>
        <w:keepLines w:val="0"/>
        <w:pageBreakBefore w:val="0"/>
        <w:widowControl w:val="0"/>
        <w:kinsoku/>
        <w:wordWrap/>
        <w:overflowPunct/>
        <w:topLinePunct w:val="0"/>
        <w:autoSpaceDE/>
        <w:autoSpaceDN/>
        <w:bidi w:val="0"/>
        <w:adjustRightInd w:val="0"/>
        <w:snapToGrid w:val="0"/>
        <w:spacing w:line="480" w:lineRule="exact"/>
        <w:ind w:firstLine="643" w:firstLineChars="20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eastAsia="zh-CN"/>
        </w:rPr>
        <w:t>（四）项目绩效目标设置</w:t>
      </w:r>
      <w:r>
        <w:rPr>
          <w:rFonts w:hint="eastAsia" w:eastAsia="楷体_GB2312" w:cs="Times New Roman"/>
          <w:b/>
          <w:color w:val="auto"/>
          <w:sz w:val="32"/>
          <w:szCs w:val="32"/>
          <w:highlight w:val="none"/>
          <w:u w:val="none"/>
          <w:lang w:val="zh-CN" w:eastAsia="zh-CN"/>
        </w:rPr>
        <w:t>。</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1.邀请全国著名画家20位到达古冰川采风写生。2.每位画家以达古冰川为创作题材，画作不低于3幅作品。3.作品装裱后，出本作品画册2000册。4.组织画作，到成都，上海，广州(或深圳)三地举办画展宣传达古冰川。5.多渠道宣传:通过线上线下渠道发布预告信息，引发关注;在采风活动进行期间，实时更新画家采风进展、作品创作过程等内容，保持话题热度;邀请主流媒体和艺术类媒体进行报道，扩大活动影响力;活动结束后，发布总结文章、视频等，回顾活动亮点，延续话题热度。</w:t>
      </w:r>
    </w:p>
    <w:p w14:paraId="78AEB329">
      <w:pPr>
        <w:keepNext w:val="0"/>
        <w:keepLines w:val="0"/>
        <w:pageBreakBefore w:val="0"/>
        <w:widowControl w:val="0"/>
        <w:numPr>
          <w:ilvl w:val="0"/>
          <w:numId w:val="0"/>
        </w:numPr>
        <w:kinsoku/>
        <w:wordWrap/>
        <w:overflowPunct/>
        <w:topLinePunct w:val="0"/>
        <w:autoSpaceDE/>
        <w:autoSpaceDN/>
        <w:bidi w:val="0"/>
        <w:snapToGrid/>
        <w:spacing w:line="480" w:lineRule="exact"/>
        <w:ind w:firstLine="640" w:firstLineChars="200"/>
        <w:rPr>
          <w:rFonts w:hint="default" w:ascii="黑体" w:hAnsi="黑体" w:eastAsia="黑体" w:cs="黑体"/>
          <w:w w:val="100"/>
          <w:sz w:val="32"/>
          <w:szCs w:val="32"/>
          <w:lang w:val="en-US" w:eastAsia="zh-CN"/>
        </w:rPr>
      </w:pPr>
      <w:r>
        <w:rPr>
          <w:rFonts w:hint="default" w:ascii="黑体" w:hAnsi="黑体" w:eastAsia="黑体" w:cs="黑体"/>
          <w:w w:val="100"/>
          <w:sz w:val="32"/>
          <w:szCs w:val="32"/>
          <w:lang w:val="en-US" w:eastAsia="zh-CN"/>
        </w:rPr>
        <w:t>二、评价实施</w:t>
      </w:r>
    </w:p>
    <w:p w14:paraId="271D22D5">
      <w:pPr>
        <w:pageBreakBefore w:val="0"/>
        <w:kinsoku/>
        <w:wordWrap/>
        <w:overflowPunct/>
        <w:topLinePunct w:val="0"/>
        <w:bidi w:val="0"/>
        <w:spacing w:line="480" w:lineRule="exact"/>
        <w:ind w:firstLine="643" w:firstLineChars="200"/>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（一）评价目的。</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通过画家的创作与展览，形成具有影响力的冰川主题艺术作品系列，推动公众对冰川生态环境的认知与保护意识提升，促进艺术与生态保护领域的跨界融合。</w:t>
      </w:r>
    </w:p>
    <w:p w14:paraId="71916830">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643" w:firstLineChars="20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（二）预设问题及评价重点。</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按照绩效评价指标体系，对资金支出使用全过程及其实施效果进行综合评价和判断。</w:t>
      </w:r>
    </w:p>
    <w:p w14:paraId="00D440E1">
      <w:pPr>
        <w:keepNext w:val="0"/>
        <w:keepLines w:val="0"/>
        <w:pageBreakBefore w:val="0"/>
        <w:widowControl w:val="0"/>
        <w:kinsoku/>
        <w:wordWrap/>
        <w:overflowPunct/>
        <w:topLinePunct w:val="0"/>
        <w:autoSpaceDE/>
        <w:autoSpaceDN/>
        <w:bidi w:val="0"/>
        <w:snapToGrid/>
        <w:spacing w:line="480" w:lineRule="exact"/>
        <w:ind w:firstLine="645"/>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（三）评价选点。</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按照绩效自评体系，对资金使用的“精准性”与“性价比”进行评价，艺术创作的“质量深度”与“主题契合度”是否相符等进行评价。</w:t>
      </w:r>
    </w:p>
    <w:p w14:paraId="6778950D">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（四）评价方法。</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此项目采用</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单位自评法</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w:t>
      </w:r>
    </w:p>
    <w:p w14:paraId="6F9AB6E4">
      <w:pPr>
        <w:keepNext w:val="0"/>
        <w:keepLines w:val="0"/>
        <w:pageBreakBefore w:val="0"/>
        <w:widowControl w:val="0"/>
        <w:kinsoku/>
        <w:wordWrap/>
        <w:overflowPunct/>
        <w:topLinePunct w:val="0"/>
        <w:autoSpaceDE/>
        <w:autoSpaceDN/>
        <w:bidi w:val="0"/>
        <w:spacing w:line="480" w:lineRule="exact"/>
        <w:ind w:firstLine="640"/>
        <w:textAlignment w:val="auto"/>
        <w:outlineLvl w:val="9"/>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楷体_GB2312" w:cs="Times New Roman"/>
          <w:b/>
          <w:color w:val="auto"/>
          <w:sz w:val="32"/>
          <w:szCs w:val="32"/>
          <w:highlight w:val="none"/>
          <w:u w:val="none"/>
          <w:lang w:val="zh-CN"/>
        </w:rPr>
        <w:t>（五）评价组织。</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评价绩效小组对此项目进行核查，对完成情况进行现场核查。</w:t>
      </w:r>
    </w:p>
    <w:p w14:paraId="00F3E609">
      <w:pPr>
        <w:keepNext w:val="0"/>
        <w:keepLines w:val="0"/>
        <w:pageBreakBefore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cs="Times New Roman"/>
          <w:color w:val="auto"/>
          <w:sz w:val="32"/>
          <w:szCs w:val="32"/>
          <w:highlight w:val="none"/>
          <w:u w:val="none"/>
          <w:lang w:val="zh-CN"/>
        </w:rPr>
      </w:pPr>
      <w:r>
        <w:rPr>
          <w:rFonts w:hint="default" w:ascii="Times New Roman" w:hAnsi="Times New Roman" w:eastAsia="黑体" w:cs="Times New Roman"/>
          <w:color w:val="auto"/>
          <w:sz w:val="32"/>
          <w:szCs w:val="32"/>
          <w:highlight w:val="none"/>
          <w:u w:val="none"/>
        </w:rPr>
        <w:t>三、</w:t>
      </w:r>
      <w:r>
        <w:rPr>
          <w:rFonts w:hint="default" w:ascii="Times New Roman" w:hAnsi="Times New Roman" w:eastAsia="黑体" w:cs="Times New Roman"/>
          <w:color w:val="auto"/>
          <w:sz w:val="32"/>
          <w:szCs w:val="32"/>
          <w:highlight w:val="none"/>
          <w:u w:val="none"/>
          <w:lang w:eastAsia="zh-CN"/>
        </w:rPr>
        <w:t>绩效分析</w:t>
      </w:r>
      <w:r>
        <w:rPr>
          <w:rFonts w:hint="default" w:ascii="Times New Roman" w:hAnsi="Times New Roman" w:cs="Times New Roman"/>
          <w:color w:val="auto"/>
          <w:sz w:val="32"/>
          <w:szCs w:val="32"/>
          <w:highlight w:val="none"/>
          <w:u w:val="none"/>
          <w:lang w:val="zh-CN"/>
        </w:rPr>
        <w:tab/>
      </w:r>
    </w:p>
    <w:p w14:paraId="66728017">
      <w:pPr>
        <w:keepNext w:val="0"/>
        <w:keepLines w:val="0"/>
        <w:pageBreakBefore w:val="0"/>
        <w:widowControl w:val="0"/>
        <w:kinsoku/>
        <w:wordWrap/>
        <w:overflowPunct/>
        <w:topLinePunct w:val="0"/>
        <w:autoSpaceDE/>
        <w:autoSpaceDN/>
        <w:bidi w:val="0"/>
        <w:adjustRightInd/>
        <w:snapToGrid/>
        <w:spacing w:line="480" w:lineRule="exact"/>
        <w:ind w:firstLine="640"/>
        <w:textAlignment w:val="auto"/>
        <w:outlineLvl w:val="9"/>
        <w:rPr>
          <w:rFonts w:hint="default" w:ascii="Times New Roman" w:hAnsi="Times New Roman" w:eastAsia="楷体_GB2312" w:cs="Times New Roman"/>
          <w:b/>
          <w:color w:val="auto"/>
          <w:sz w:val="32"/>
          <w:szCs w:val="32"/>
          <w:highlight w:val="none"/>
          <w:u w:val="none"/>
          <w:lang w:val="en-US" w:eastAsia="zh-CN"/>
        </w:rPr>
      </w:pPr>
      <w:r>
        <w:rPr>
          <w:rFonts w:hint="default" w:ascii="Times New Roman" w:hAnsi="Times New Roman" w:eastAsia="楷体_GB2312" w:cs="Times New Roman"/>
          <w:b/>
          <w:color w:val="auto"/>
          <w:sz w:val="32"/>
          <w:szCs w:val="32"/>
          <w:highlight w:val="none"/>
          <w:u w:val="none"/>
          <w:lang w:val="zh-CN"/>
        </w:rPr>
        <w:t>（一）</w:t>
      </w:r>
      <w:r>
        <w:rPr>
          <w:rFonts w:hint="default" w:ascii="Times New Roman" w:hAnsi="Times New Roman" w:eastAsia="楷体_GB2312" w:cs="Times New Roman"/>
          <w:b/>
          <w:color w:val="auto"/>
          <w:sz w:val="32"/>
          <w:szCs w:val="32"/>
          <w:highlight w:val="none"/>
          <w:u w:val="none"/>
          <w:lang w:val="en-US" w:eastAsia="zh-CN"/>
        </w:rPr>
        <w:t>通用指标</w:t>
      </w:r>
      <w:r>
        <w:rPr>
          <w:rFonts w:hint="default" w:ascii="Times New Roman" w:hAnsi="Times New Roman" w:eastAsia="楷体_GB2312" w:cs="Times New Roman"/>
          <w:b/>
          <w:bCs/>
          <w:color w:val="auto"/>
          <w:kern w:val="0"/>
          <w:szCs w:val="32"/>
          <w:highlight w:val="none"/>
          <w:shd w:val="clear" w:color="auto" w:fill="FFFFFF"/>
          <w:lang w:val="zh-CN"/>
        </w:rPr>
        <w:t>绩效分析。</w:t>
      </w:r>
    </w:p>
    <w:p w14:paraId="5933294B">
      <w:pPr>
        <w:keepNext w:val="0"/>
        <w:keepLines w:val="0"/>
        <w:pageBreakBefore w:val="0"/>
        <w:widowControl w:val="0"/>
        <w:kinsoku/>
        <w:wordWrap/>
        <w:overflowPunct/>
        <w:topLinePunct w:val="0"/>
        <w:autoSpaceDE/>
        <w:autoSpaceDN/>
        <w:bidi w:val="0"/>
        <w:snapToGrid/>
        <w:spacing w:line="480" w:lineRule="exact"/>
        <w:ind w:firstLine="645"/>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1.项目决策。</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该项目通过局务会和党委会研究讨论后公开招标，</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于2024年3月18日就著名画家画“冰川”主题宣传活动</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通过公开招标专家论证后确定中标单位</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，中标单位为成都优芮文化传播有限公司，中标价198万元。</w:t>
      </w:r>
    </w:p>
    <w:p w14:paraId="16305881">
      <w:pPr>
        <w:keepNext w:val="0"/>
        <w:keepLines w:val="0"/>
        <w:pageBreakBefore w:val="0"/>
        <w:widowControl w:val="0"/>
        <w:kinsoku/>
        <w:wordWrap/>
        <w:overflowPunct/>
        <w:topLinePunct w:val="0"/>
        <w:autoSpaceDE/>
        <w:autoSpaceDN/>
        <w:bidi w:val="0"/>
        <w:snapToGrid/>
        <w:spacing w:line="480" w:lineRule="exact"/>
        <w:ind w:firstLine="645"/>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2.项目管理。</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在资金管理方面，严格按照财务制度执行，制定了详细的资金使用计划，对每一笔支出进行审核，确保资金专款专用。在作品创作管理上，与中标单位签订创作协议，明确作品数量、质量要求等，并安排专人跟进创作进度。展览筹备过程中，对展览场地布置，作品装裱、参观流程等环节进行精心策划与把控。</w:t>
      </w:r>
    </w:p>
    <w:p w14:paraId="56063E20">
      <w:pPr>
        <w:keepNext w:val="0"/>
        <w:keepLines w:val="0"/>
        <w:pageBreakBefore w:val="0"/>
        <w:widowControl w:val="0"/>
        <w:kinsoku/>
        <w:wordWrap/>
        <w:overflowPunct/>
        <w:topLinePunct w:val="0"/>
        <w:autoSpaceDE/>
        <w:autoSpaceDN/>
        <w:bidi w:val="0"/>
        <w:snapToGrid/>
        <w:spacing w:line="480" w:lineRule="exact"/>
        <w:ind w:firstLine="645"/>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3.项目实施。该项目于2024年11月11日全面完成宣传活动。项目绩效目标完成情况：1、于2024年4月24日下午17:00在四川省成都市浓园国际艺术林跃艺术花园开启《妙手执画笔，穿越大冰川》启动仪式；2、于 2024年4月25日--30日期间，组织国内24位著名艺术家前往景区进行采风活动，每人创作3幅冰川作品用于画展，共交付景区创作作品63幅；3、分别于2024年8月24日在广州省深圳市福田美术馆</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10月9日在上海市政协展厅3号楼1楼， 11月20日在四川省成都市林跃美术馆举办三场画展；</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4</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.完成整个项目线上网络媒体、网红达人和线下硬广的投放和宣传。</w:t>
      </w:r>
    </w:p>
    <w:p w14:paraId="3BF1BDC7">
      <w:pPr>
        <w:keepNext w:val="0"/>
        <w:keepLines w:val="0"/>
        <w:pageBreakBefore w:val="0"/>
        <w:widowControl w:val="0"/>
        <w:kinsoku/>
        <w:wordWrap/>
        <w:overflowPunct/>
        <w:topLinePunct w:val="0"/>
        <w:autoSpaceDE/>
        <w:autoSpaceDN/>
        <w:bidi w:val="0"/>
        <w:snapToGrid/>
        <w:spacing w:line="480" w:lineRule="exact"/>
        <w:ind w:firstLine="645"/>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4.项目结果。产出指标-数量指标-参加画展人数20人，实际参加画展人数24人。</w:t>
      </w:r>
    </w:p>
    <w:p w14:paraId="2F682631">
      <w:pPr>
        <w:keepNext w:val="0"/>
        <w:keepLines w:val="0"/>
        <w:pageBreakBefore w:val="0"/>
        <w:widowControl w:val="0"/>
        <w:kinsoku/>
        <w:wordWrap/>
        <w:overflowPunct/>
        <w:topLinePunct w:val="0"/>
        <w:autoSpaceDE/>
        <w:autoSpaceDN/>
        <w:bidi w:val="0"/>
        <w:snapToGrid/>
        <w:spacing w:line="480" w:lineRule="exact"/>
        <w:ind w:firstLine="645"/>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产出指标-数量指标-每人完成作品3幅，实际完成3幅</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，共交付管理局63幅作品。</w:t>
      </w:r>
    </w:p>
    <w:p w14:paraId="602E2A73">
      <w:pPr>
        <w:keepNext w:val="0"/>
        <w:keepLines w:val="0"/>
        <w:pageBreakBefore w:val="0"/>
        <w:widowControl w:val="0"/>
        <w:kinsoku/>
        <w:wordWrap/>
        <w:overflowPunct/>
        <w:topLinePunct w:val="0"/>
        <w:autoSpaceDE/>
        <w:autoSpaceDN/>
        <w:bidi w:val="0"/>
        <w:snapToGrid/>
        <w:spacing w:line="480" w:lineRule="exact"/>
        <w:ind w:firstLine="645"/>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产出指标-数量指标-画册数量2000册，实际完成2000册</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，在三地落地展赠送画册500套，剩余画册移交至管理局。</w:t>
      </w:r>
    </w:p>
    <w:p w14:paraId="300871B6">
      <w:pPr>
        <w:keepNext w:val="0"/>
        <w:keepLines w:val="0"/>
        <w:pageBreakBefore w:val="0"/>
        <w:widowControl w:val="0"/>
        <w:kinsoku/>
        <w:wordWrap/>
        <w:overflowPunct/>
        <w:topLinePunct w:val="0"/>
        <w:autoSpaceDE/>
        <w:autoSpaceDN/>
        <w:bidi w:val="0"/>
        <w:snapToGrid/>
        <w:spacing w:line="480" w:lineRule="exact"/>
        <w:ind w:firstLine="645"/>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产出指标-质量指标-作品质量需达到优。</w:t>
      </w:r>
    </w:p>
    <w:p w14:paraId="1B8D7058">
      <w:pPr>
        <w:keepNext w:val="0"/>
        <w:keepLines w:val="0"/>
        <w:pageBreakBefore w:val="0"/>
        <w:widowControl w:val="0"/>
        <w:kinsoku/>
        <w:wordWrap/>
        <w:overflowPunct/>
        <w:topLinePunct w:val="0"/>
        <w:autoSpaceDE/>
        <w:autoSpaceDN/>
        <w:bidi w:val="0"/>
        <w:snapToGrid/>
        <w:spacing w:line="480" w:lineRule="exact"/>
        <w:ind w:firstLine="645"/>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产出指标-时效指标-完成时限2024年底前，实际于2024年11月完成。</w:t>
      </w:r>
    </w:p>
    <w:p w14:paraId="25698B8D">
      <w:pPr>
        <w:keepNext w:val="0"/>
        <w:keepLines w:val="0"/>
        <w:pageBreakBefore w:val="0"/>
        <w:widowControl w:val="0"/>
        <w:kinsoku/>
        <w:wordWrap/>
        <w:overflowPunct/>
        <w:topLinePunct w:val="0"/>
        <w:autoSpaceDE/>
        <w:autoSpaceDN/>
        <w:bidi w:val="0"/>
        <w:snapToGrid/>
        <w:spacing w:line="480" w:lineRule="exact"/>
        <w:ind w:firstLine="645"/>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效益指标-可持续影响指标-景区可持续发展</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 xml:space="preserve"> </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长期</w:t>
      </w:r>
    </w:p>
    <w:p w14:paraId="0A8F634E">
      <w:pPr>
        <w:keepNext w:val="0"/>
        <w:keepLines w:val="0"/>
        <w:pageBreakBefore w:val="0"/>
        <w:widowControl w:val="0"/>
        <w:kinsoku/>
        <w:wordWrap/>
        <w:overflowPunct/>
        <w:topLinePunct w:val="0"/>
        <w:autoSpaceDE/>
        <w:autoSpaceDN/>
        <w:bidi w:val="0"/>
        <w:snapToGrid/>
        <w:spacing w:line="480" w:lineRule="exact"/>
        <w:ind w:firstLine="645"/>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满意度指标-营销宣传满意度≥95%。</w:t>
      </w:r>
    </w:p>
    <w:p w14:paraId="3648D5FB">
      <w:pPr>
        <w:keepNext w:val="0"/>
        <w:keepLines w:val="0"/>
        <w:pageBreakBefore w:val="0"/>
        <w:widowControl w:val="0"/>
        <w:kinsoku/>
        <w:wordWrap/>
        <w:overflowPunct/>
        <w:topLinePunct w:val="0"/>
        <w:autoSpaceDE/>
        <w:autoSpaceDN/>
        <w:bidi w:val="0"/>
        <w:snapToGrid/>
        <w:spacing w:line="480" w:lineRule="exact"/>
        <w:ind w:firstLine="645"/>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成本指标=经济成本指标-主题活动宣传成本≤200万元，实际支付198万元。</w:t>
      </w:r>
    </w:p>
    <w:p w14:paraId="3869E16D">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eastAsia="zh-CN"/>
        </w:rPr>
        <w:t>四</w:t>
      </w:r>
      <w:r>
        <w:rPr>
          <w:rFonts w:hint="default" w:ascii="Times New Roman" w:hAnsi="Times New Roman" w:eastAsia="黑体" w:cs="Times New Roman"/>
          <w:color w:val="auto"/>
          <w:sz w:val="32"/>
          <w:szCs w:val="32"/>
          <w:highlight w:val="none"/>
          <w:u w:val="none"/>
        </w:rPr>
        <w:t>、评价结论</w:t>
      </w:r>
    </w:p>
    <w:p w14:paraId="75745A0C">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著名画家冰川专项项目在实现创作、传播和社会影响等绩效目标方面取得了显著成效，资金使用基本合理，项目管理较为规范。虽然存在一些问题，但通过采取相应的改进措施，能够进一步提升项目实施质量与效益。综合评估，本项目绩效达到预期目标，自评结果为</w:t>
      </w:r>
      <w:r>
        <w:rPr>
          <w:rFonts w:hint="eastAsia" w:ascii="Times New Roman" w:hAnsi="Times New Roman" w:eastAsia="仿宋_GB2312" w:cs="Times New Roman"/>
          <w:color w:val="auto"/>
          <w:kern w:val="0"/>
          <w:sz w:val="32"/>
          <w:szCs w:val="32"/>
          <w:highlight w:val="none"/>
          <w:u w:val="none"/>
          <w:shd w:val="clear" w:color="auto" w:fill="FFFFFF"/>
          <w:lang w:val="en-US" w:eastAsia="zh-CN" w:bidi="ar-SA"/>
        </w:rPr>
        <w:t>100分。</w:t>
      </w:r>
    </w:p>
    <w:p w14:paraId="11FB6295">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sz w:val="32"/>
          <w:szCs w:val="32"/>
          <w:highlight w:val="none"/>
          <w:u w:val="none"/>
          <w:lang w:eastAsia="zh-CN"/>
        </w:rPr>
      </w:pPr>
      <w:r>
        <w:rPr>
          <w:rFonts w:hint="default" w:ascii="黑体" w:hAnsi="黑体" w:eastAsia="黑体" w:cs="黑体"/>
          <w:w w:val="100"/>
          <w:kern w:val="2"/>
          <w:sz w:val="32"/>
          <w:szCs w:val="32"/>
          <w:lang w:val="en-US" w:eastAsia="zh-CN" w:bidi="ar-SA"/>
        </w:rPr>
        <w:t>五、存</w:t>
      </w:r>
      <w:r>
        <w:rPr>
          <w:rFonts w:hint="default" w:ascii="Times New Roman" w:hAnsi="Times New Roman" w:eastAsia="黑体" w:cs="Times New Roman"/>
          <w:color w:val="auto"/>
          <w:sz w:val="32"/>
          <w:szCs w:val="32"/>
          <w:highlight w:val="none"/>
          <w:u w:val="none"/>
          <w:lang w:eastAsia="zh-CN"/>
        </w:rPr>
        <w:t>在主要问题</w:t>
      </w:r>
    </w:p>
    <w:p w14:paraId="0E98B5D9">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虽然展览吸引了大量观众，但公众参与互动的形式较为单一，未能充分调动公众的积极性和主动性。</w:t>
      </w:r>
    </w:p>
    <w:p w14:paraId="0D0397A0">
      <w:pPr>
        <w:pStyle w:val="6"/>
        <w:pageBreakBefore w:val="0"/>
        <w:numPr>
          <w:ilvl w:val="0"/>
          <w:numId w:val="0"/>
        </w:numPr>
        <w:tabs>
          <w:tab w:val="left" w:pos="2160"/>
        </w:tabs>
        <w:kinsoku/>
        <w:wordWrap/>
        <w:overflowPunct/>
        <w:topLinePunct w:val="0"/>
        <w:autoSpaceDE/>
        <w:autoSpaceDN/>
        <w:bidi w:val="0"/>
        <w:adjustRightInd/>
        <w:spacing w:beforeLines="0" w:line="480" w:lineRule="exact"/>
        <w:ind w:firstLine="640" w:firstLineChars="200"/>
        <w:textAlignment w:val="auto"/>
        <w:rPr>
          <w:rFonts w:hint="default" w:ascii="Times New Roman" w:hAnsi="Times New Roman" w:eastAsia="黑体" w:cs="Times New Roman"/>
          <w:color w:val="auto"/>
          <w:kern w:val="0"/>
          <w:position w:val="3"/>
          <w:sz w:val="32"/>
          <w:szCs w:val="32"/>
          <w:highlight w:val="none"/>
          <w:u w:val="none"/>
          <w:lang w:val="zh-CN" w:eastAsia="zh-CN" w:bidi="ar-SA"/>
        </w:rPr>
      </w:pPr>
      <w:r>
        <w:rPr>
          <w:rFonts w:hint="default" w:ascii="Times New Roman" w:hAnsi="Times New Roman" w:eastAsia="黑体" w:cs="Times New Roman"/>
          <w:color w:val="auto"/>
          <w:kern w:val="0"/>
          <w:position w:val="3"/>
          <w:sz w:val="32"/>
          <w:szCs w:val="32"/>
          <w:highlight w:val="none"/>
          <w:u w:val="none"/>
          <w:lang w:val="zh-CN" w:eastAsia="zh-CN" w:bidi="ar-SA"/>
        </w:rPr>
        <w:t>六、改进建议</w:t>
      </w:r>
    </w:p>
    <w:p w14:paraId="558CE3ED">
      <w:pPr>
        <w:pageBreakBefore w:val="0"/>
        <w:tabs>
          <w:tab w:val="left" w:pos="1911"/>
        </w:tabs>
        <w:kinsoku/>
        <w:wordWrap/>
        <w:overflowPunct/>
        <w:topLinePunct w:val="0"/>
        <w:bidi w:val="0"/>
        <w:spacing w:line="480" w:lineRule="exact"/>
        <w:jc w:val="left"/>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pPr>
      <w:r>
        <w:rPr>
          <w:rFonts w:hint="default" w:ascii="Times New Roman" w:hAnsi="Times New Roman" w:eastAsia="仿宋_GB2312" w:cs="Times New Roman"/>
          <w:color w:val="auto"/>
          <w:kern w:val="0"/>
          <w:sz w:val="32"/>
          <w:szCs w:val="32"/>
          <w:highlight w:val="none"/>
          <w:u w:val="none"/>
          <w:shd w:val="clear" w:color="auto" w:fill="FFFFFF"/>
          <w:lang w:val="zh-CN" w:eastAsia="zh-CN" w:bidi="ar-SA"/>
        </w:rPr>
        <w:t xml:space="preserve"> </w:t>
      </w:r>
      <w:r>
        <w:rPr>
          <w:rFonts w:hint="default" w:ascii="Times New Roman" w:hAnsi="Times New Roman" w:eastAsia="仿宋_GB2312" w:cs="Times New Roman"/>
          <w:color w:val="auto"/>
          <w:kern w:val="0"/>
          <w:sz w:val="32"/>
          <w:szCs w:val="32"/>
          <w:highlight w:val="none"/>
          <w:u w:val="none"/>
          <w:shd w:val="clear" w:color="auto" w:fill="FFFFFF"/>
          <w:lang w:val="en-US" w:eastAsia="zh-CN" w:bidi="ar-SA"/>
        </w:rPr>
        <w:t xml:space="preserve">   在后续展览和宣传活动中，增加互动环节，如举办艺术创作体验活动、环保主题讲座、线上投票评选等，提高公众的参与感和体验感，进一步扩大项目的社会影响力。</w:t>
      </w:r>
    </w:p>
    <w:p w14:paraId="07872BBA">
      <w:pPr>
        <w:keepNext w:val="0"/>
        <w:keepLines w:val="0"/>
        <w:pageBreakBefore w:val="0"/>
        <w:kinsoku/>
        <w:wordWrap/>
        <w:overflowPunct/>
        <w:topLinePunct w:val="0"/>
        <w:autoSpaceDE/>
        <w:autoSpaceDN/>
        <w:bidi w:val="0"/>
        <w:adjustRightInd/>
        <w:snapToGrid w:val="0"/>
        <w:spacing w:line="480" w:lineRule="exact"/>
        <w:ind w:left="0" w:leftChars="0" w:firstLine="420" w:firstLineChars="200"/>
        <w:textAlignment w:val="auto"/>
        <w:outlineLvl w:val="9"/>
        <w:rPr>
          <w:rFonts w:hint="default" w:ascii="Times New Roman" w:hAnsi="Times New Roman" w:cs="Times New Roman"/>
          <w:color w:val="auto"/>
          <w:kern w:val="0"/>
          <w:szCs w:val="32"/>
          <w:highlight w:val="none"/>
          <w:shd w:val="clear" w:color="auto" w:fill="FFFFFF"/>
          <w:lang w:val="zh-CN" w:eastAsia="zh-CN"/>
        </w:rPr>
      </w:pPr>
    </w:p>
    <w:p w14:paraId="1132AEBB">
      <w:pPr>
        <w:keepNext w:val="0"/>
        <w:keepLines w:val="0"/>
        <w:pageBreakBefore w:val="0"/>
        <w:widowControl w:val="0"/>
        <w:kinsoku/>
        <w:wordWrap/>
        <w:overflowPunct/>
        <w:topLinePunct w:val="0"/>
        <w:autoSpaceDE/>
        <w:autoSpaceDN/>
        <w:bidi w:val="0"/>
        <w:spacing w:line="480" w:lineRule="exact"/>
        <w:textAlignment w:val="auto"/>
        <w:outlineLvl w:val="9"/>
        <w:rPr>
          <w:rFonts w:hint="default" w:ascii="Times New Roman" w:hAnsi="Times New Roman" w:eastAsia="仿宋_GB2312" w:cs="仿宋_GB2312"/>
          <w:b w:val="0"/>
          <w:bCs w:val="0"/>
          <w:kern w:val="0"/>
          <w:position w:val="0"/>
          <w:sz w:val="32"/>
          <w:szCs w:val="32"/>
          <w:highlight w:val="none"/>
          <w:lang w:val="en-US" w:eastAsia="zh-CN" w:bidi="ar-SA"/>
        </w:rPr>
      </w:pPr>
      <w:bookmarkStart w:id="56" w:name="_Toc15396618"/>
    </w:p>
    <w:p w14:paraId="5EACA163">
      <w:pPr>
        <w:keepNext w:val="0"/>
        <w:keepLines w:val="0"/>
        <w:pageBreakBefore w:val="0"/>
        <w:widowControl w:val="0"/>
        <w:kinsoku/>
        <w:wordWrap/>
        <w:overflowPunct/>
        <w:topLinePunct w:val="0"/>
        <w:autoSpaceDE/>
        <w:autoSpaceDN/>
        <w:bidi w:val="0"/>
        <w:spacing w:line="480" w:lineRule="exact"/>
        <w:textAlignment w:val="auto"/>
        <w:outlineLvl w:val="9"/>
        <w:rPr>
          <w:rFonts w:hint="default" w:ascii="Times New Roman" w:hAnsi="Times New Roman" w:eastAsia="仿宋_GB2312" w:cs="仿宋_GB2312"/>
          <w:b w:val="0"/>
          <w:bCs w:val="0"/>
          <w:kern w:val="0"/>
          <w:position w:val="0"/>
          <w:sz w:val="32"/>
          <w:szCs w:val="32"/>
          <w:highlight w:val="none"/>
          <w:lang w:val="en-US" w:eastAsia="zh-CN" w:bidi="ar-SA"/>
        </w:rPr>
      </w:pPr>
    </w:p>
    <w:p w14:paraId="49515CFD">
      <w:pPr>
        <w:keepNext w:val="0"/>
        <w:keepLines w:val="0"/>
        <w:pageBreakBefore w:val="0"/>
        <w:widowControl w:val="0"/>
        <w:kinsoku/>
        <w:wordWrap/>
        <w:overflowPunct/>
        <w:topLinePunct w:val="0"/>
        <w:autoSpaceDE/>
        <w:autoSpaceDN/>
        <w:bidi w:val="0"/>
        <w:spacing w:line="480" w:lineRule="exact"/>
        <w:textAlignment w:val="auto"/>
        <w:outlineLvl w:val="9"/>
        <w:rPr>
          <w:rFonts w:hint="default" w:ascii="Times New Roman" w:hAnsi="Times New Roman" w:eastAsia="仿宋_GB2312" w:cs="仿宋_GB2312"/>
          <w:b w:val="0"/>
          <w:bCs w:val="0"/>
          <w:kern w:val="0"/>
          <w:position w:val="0"/>
          <w:sz w:val="32"/>
          <w:szCs w:val="32"/>
          <w:highlight w:val="none"/>
          <w:lang w:val="en-US" w:eastAsia="zh-CN" w:bidi="ar-SA"/>
        </w:rPr>
      </w:pPr>
    </w:p>
    <w:p w14:paraId="2AF4F423">
      <w:pPr>
        <w:keepNext w:val="0"/>
        <w:keepLines w:val="0"/>
        <w:pageBreakBefore w:val="0"/>
        <w:widowControl w:val="0"/>
        <w:kinsoku/>
        <w:wordWrap/>
        <w:overflowPunct/>
        <w:topLinePunct w:val="0"/>
        <w:autoSpaceDE/>
        <w:autoSpaceDN/>
        <w:bidi w:val="0"/>
        <w:spacing w:line="480" w:lineRule="exact"/>
        <w:textAlignment w:val="auto"/>
        <w:outlineLvl w:val="9"/>
        <w:rPr>
          <w:rFonts w:hint="default" w:ascii="Times New Roman" w:hAnsi="Times New Roman" w:eastAsia="仿宋_GB2312" w:cs="仿宋_GB2312"/>
          <w:b w:val="0"/>
          <w:bCs w:val="0"/>
          <w:kern w:val="0"/>
          <w:position w:val="0"/>
          <w:sz w:val="32"/>
          <w:szCs w:val="32"/>
          <w:highlight w:val="none"/>
          <w:lang w:val="en-US" w:eastAsia="zh-CN" w:bidi="ar-SA"/>
        </w:rPr>
      </w:pPr>
      <w:r>
        <w:rPr>
          <w:rFonts w:hint="default" w:ascii="Times New Roman" w:hAnsi="Times New Roman" w:eastAsia="仿宋_GB2312" w:cs="仿宋_GB2312"/>
          <w:b w:val="0"/>
          <w:bCs w:val="0"/>
          <w:kern w:val="0"/>
          <w:position w:val="0"/>
          <w:sz w:val="32"/>
          <w:szCs w:val="32"/>
          <w:highlight w:val="none"/>
          <w:lang w:val="en-US" w:eastAsia="zh-CN" w:bidi="ar-SA"/>
        </w:rPr>
        <w:pict>
          <v:shape id="_x0000_s1027" o:spid="_x0000_s1027" o:spt="75" type="#_x0000_t75" style="position:absolute;left:0pt;margin-left:-5.7pt;margin-top:10.5pt;height:659.2pt;width:444.95pt;mso-wrap-distance-bottom:0pt;mso-wrap-distance-left:9pt;mso-wrap-distance-right:9pt;mso-wrap-distance-top:0pt;z-index:251666432;mso-width-relative:page;mso-height-relative:page;" o:ole="t" filled="f" o:preferrelative="f" stroked="f" coordsize="21600,21600">
            <v:path/>
            <v:fill on="f" focussize="0,0"/>
            <v:stroke on="f"/>
            <v:imagedata r:id="rId24" o:title=""/>
            <o:lock v:ext="edit" aspectratio="t"/>
            <w10:wrap type="square"/>
          </v:shape>
          <o:OLEObject Type="Embed" ProgID="Excel.Sheet.12" ShapeID="_x0000_s1027" DrawAspect="Content" ObjectID="_1468075725" r:id="rId23">
            <o:LockedField>false</o:LockedField>
          </o:OLEObject>
        </w:pict>
      </w:r>
    </w:p>
    <w:p w14:paraId="4F71EB43">
      <w:pPr>
        <w:keepNext w:val="0"/>
        <w:keepLines w:val="0"/>
        <w:pageBreakBefore w:val="0"/>
        <w:widowControl w:val="0"/>
        <w:kinsoku/>
        <w:wordWrap/>
        <w:overflowPunct/>
        <w:topLinePunct w:val="0"/>
        <w:autoSpaceDE/>
        <w:autoSpaceDN/>
        <w:bidi w:val="0"/>
        <w:spacing w:line="480" w:lineRule="exact"/>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default" w:ascii="Times New Roman" w:hAnsi="Times New Roman" w:eastAsia="仿宋_GB2312" w:cs="仿宋_GB2312"/>
          <w:b w:val="0"/>
          <w:bCs w:val="0"/>
          <w:kern w:val="0"/>
          <w:position w:val="0"/>
          <w:sz w:val="32"/>
          <w:szCs w:val="32"/>
          <w:highlight w:val="none"/>
          <w:lang w:val="en-US" w:eastAsia="zh-CN" w:bidi="ar-SA"/>
        </w:rPr>
        <w:pict>
          <v:shape id="_x0000_s1028" o:spid="_x0000_s1028" o:spt="75" type="#_x0000_t75" style="position:absolute;left:0pt;margin-left:-12.75pt;margin-top:13.45pt;height:660.35pt;width:451.95pt;mso-wrap-distance-bottom:0pt;mso-wrap-distance-left:9pt;mso-wrap-distance-right:9pt;mso-wrap-distance-top:0pt;z-index:251666432;mso-width-relative:page;mso-height-relative:page;" o:ole="t" filled="f" o:preferrelative="f" stroked="f" coordsize="21600,21600">
            <v:path/>
            <v:fill on="f" focussize="0,0"/>
            <v:stroke on="f"/>
            <v:imagedata r:id="rId26" o:title=""/>
            <o:lock v:ext="edit" aspectratio="t"/>
            <w10:wrap type="square"/>
          </v:shape>
          <o:OLEObject Type="Embed" ProgID="Excel.Sheet.12" ShapeID="_x0000_s1028" DrawAspect="Content" ObjectID="_1468075726" r:id="rId25">
            <o:LockedField>false</o:LockedField>
          </o:OLEObject>
        </w:pict>
      </w:r>
    </w:p>
    <w:p w14:paraId="1D23A10D">
      <w:pPr>
        <w:keepNext w:val="0"/>
        <w:keepLines w:val="0"/>
        <w:pageBreakBefore w:val="0"/>
        <w:widowControl w:val="0"/>
        <w:kinsoku/>
        <w:wordWrap/>
        <w:overflowPunct/>
        <w:topLinePunct w:val="0"/>
        <w:autoSpaceDE/>
        <w:autoSpaceDN/>
        <w:bidi w:val="0"/>
        <w:spacing w:line="480" w:lineRule="exact"/>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pict>
          <v:shape id="_x0000_s1029" o:spid="_x0000_s1029" o:spt="75" type="#_x0000_t75" style="position:absolute;left:0pt;margin-left:-8.25pt;margin-top:1.5pt;height:679.85pt;width:434.75pt;mso-wrap-distance-bottom:0pt;mso-wrap-distance-left:9pt;mso-wrap-distance-right:9pt;mso-wrap-distance-top:0pt;z-index:251667456;mso-width-relative:page;mso-height-relative:page;" o:ole="t" filled="f" o:preferrelative="f" stroked="f" coordsize="21600,21600">
            <v:path/>
            <v:fill on="f" focussize="0,0"/>
            <v:stroke on="f"/>
            <v:imagedata r:id="rId28" o:title=""/>
            <o:lock v:ext="edit" aspectratio="t"/>
            <w10:wrap type="square"/>
          </v:shape>
          <o:OLEObject Type="Embed" ProgID="Excel.Sheet.12" ShapeID="_x0000_s1029" DrawAspect="Content" ObjectID="_1468075727" r:id="rId27">
            <o:LockedField>false</o:LockedField>
          </o:OLEObject>
        </w:pict>
      </w:r>
    </w:p>
    <w:p w14:paraId="13D585C0">
      <w:pPr>
        <w:keepNext w:val="0"/>
        <w:keepLines w:val="0"/>
        <w:pageBreakBefore w:val="0"/>
        <w:widowControl w:val="0"/>
        <w:kinsoku/>
        <w:wordWrap/>
        <w:overflowPunct/>
        <w:topLinePunct w:val="0"/>
        <w:autoSpaceDE/>
        <w:autoSpaceDN/>
        <w:bidi w:val="0"/>
        <w:spacing w:line="480" w:lineRule="exact"/>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pict>
          <v:shape id="_x0000_s1030" o:spid="_x0000_s1030" o:spt="75" type="#_x0000_t75" style="position:absolute;left:0pt;margin-left:-12pt;margin-top:9pt;height:668.35pt;width:436.15pt;mso-wrap-distance-bottom:0pt;mso-wrap-distance-left:9pt;mso-wrap-distance-right:9pt;mso-wrap-distance-top:0pt;z-index:251668480;mso-width-relative:page;mso-height-relative:page;" o:ole="t" filled="f" o:preferrelative="f" stroked="f" coordsize="21600,21600">
            <v:path/>
            <v:fill on="f" focussize="0,0"/>
            <v:stroke on="f"/>
            <v:imagedata r:id="rId30" o:title=""/>
            <o:lock v:ext="edit" aspectratio="t"/>
            <w10:wrap type="square"/>
          </v:shape>
          <o:OLEObject Type="Embed" ProgID="Excel.Sheet.12" ShapeID="_x0000_s1030" DrawAspect="Content" ObjectID="_1468075728" r:id="rId29">
            <o:LockedField>false</o:LockedField>
          </o:OLEObject>
        </w:pict>
      </w:r>
    </w:p>
    <w:p w14:paraId="08433BE1">
      <w:pPr>
        <w:keepNext w:val="0"/>
        <w:keepLines w:val="0"/>
        <w:pageBreakBefore w:val="0"/>
        <w:widowControl w:val="0"/>
        <w:kinsoku/>
        <w:wordWrap/>
        <w:overflowPunct/>
        <w:topLinePunct w:val="0"/>
        <w:autoSpaceDE/>
        <w:autoSpaceDN/>
        <w:bidi w:val="0"/>
        <w:spacing w:line="480" w:lineRule="exact"/>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pict>
          <v:shape id="_x0000_s1031" o:spid="_x0000_s1031" o:spt="75" type="#_x0000_t75" style="position:absolute;left:0pt;margin-left:-9.75pt;margin-top:7.45pt;height:675pt;width:438pt;mso-wrap-distance-bottom:0pt;mso-wrap-distance-left:9pt;mso-wrap-distance-right:9pt;mso-wrap-distance-top:0pt;z-index:251669504;mso-width-relative:page;mso-height-relative:page;" o:ole="t" filled="f" o:preferrelative="f" stroked="f" coordsize="21600,21600">
            <v:path/>
            <v:fill on="f" focussize="0,0"/>
            <v:stroke on="f"/>
            <v:imagedata r:id="rId32" o:title=""/>
            <o:lock v:ext="edit" aspectratio="t"/>
            <w10:wrap type="square"/>
          </v:shape>
          <o:OLEObject Type="Embed" ProgID="Excel.Sheet.12" ShapeID="_x0000_s1031" DrawAspect="Content" ObjectID="_1468075729" r:id="rId31">
            <o:LockedField>false</o:LockedField>
          </o:OLEObject>
        </w:pict>
      </w:r>
    </w:p>
    <w:p w14:paraId="1C91CAB7">
      <w:pPr>
        <w:keepNext w:val="0"/>
        <w:keepLines w:val="0"/>
        <w:pageBreakBefore w:val="0"/>
        <w:widowControl w:val="0"/>
        <w:kinsoku/>
        <w:wordWrap/>
        <w:overflowPunct/>
        <w:topLinePunct w:val="0"/>
        <w:autoSpaceDE/>
        <w:autoSpaceDN/>
        <w:bidi w:val="0"/>
        <w:spacing w:line="480" w:lineRule="exact"/>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pict>
          <v:shape id="_x0000_s1032" o:spid="_x0000_s1032" o:spt="75" type="#_x0000_t75" style="position:absolute;left:0pt;margin-left:-7.5pt;margin-top:15pt;height:662.4pt;width:443.65pt;mso-wrap-distance-bottom:0pt;mso-wrap-distance-left:9pt;mso-wrap-distance-right:9pt;mso-wrap-distance-top:0pt;z-index:251670528;mso-width-relative:page;mso-height-relative:page;" o:ole="t" filled="f" o:preferrelative="f" stroked="f" coordsize="21600,21600">
            <v:path/>
            <v:fill on="f" focussize="0,0"/>
            <v:stroke on="f"/>
            <v:imagedata r:id="rId34" o:title=""/>
            <o:lock v:ext="edit" aspectratio="t"/>
            <w10:wrap type="square"/>
          </v:shape>
          <o:OLEObject Type="Embed" ProgID="Excel.Sheet.12" ShapeID="_x0000_s1032" DrawAspect="Content" ObjectID="_1468075730" r:id="rId33">
            <o:LockedField>false</o:LockedField>
          </o:OLEObject>
        </w:pict>
      </w:r>
    </w:p>
    <w:p w14:paraId="7B9DA2B8">
      <w:pPr>
        <w:keepNext w:val="0"/>
        <w:keepLines w:val="0"/>
        <w:pageBreakBefore w:val="0"/>
        <w:widowControl w:val="0"/>
        <w:kinsoku/>
        <w:wordWrap/>
        <w:overflowPunct/>
        <w:topLinePunct w:val="0"/>
        <w:autoSpaceDE/>
        <w:autoSpaceDN/>
        <w:bidi w:val="0"/>
        <w:spacing w:line="480" w:lineRule="exact"/>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pict>
          <v:shape id="_x0000_s1033" o:spid="_x0000_s1033" o:spt="75" type="#_x0000_t75" style="position:absolute;left:0pt;margin-left:-6.75pt;margin-top:3.75pt;height:667.25pt;width:438.5pt;mso-wrap-distance-bottom:0pt;mso-wrap-distance-left:9pt;mso-wrap-distance-right:9pt;mso-wrap-distance-top:0pt;z-index:251671552;mso-width-relative:page;mso-height-relative:page;" o:ole="t" filled="f" o:preferrelative="f" stroked="f" coordsize="21600,21600">
            <v:path/>
            <v:fill on="f" focussize="0,0"/>
            <v:stroke on="f"/>
            <v:imagedata r:id="rId36" o:title=""/>
            <o:lock v:ext="edit" aspectratio="t"/>
            <w10:wrap type="square"/>
          </v:shape>
          <o:OLEObject Type="Embed" ProgID="Excel.Sheet.12" ShapeID="_x0000_s1033" DrawAspect="Content" ObjectID="_1468075731" r:id="rId35">
            <o:LockedField>false</o:LockedField>
          </o:OLEObject>
        </w:pict>
      </w:r>
    </w:p>
    <w:p w14:paraId="04159287">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34" o:spid="_x0000_s1034" o:spt="75" type="#_x0000_t75" style="position:absolute;left:0pt;margin-left:-4.5pt;margin-top:2.25pt;height:668.65pt;width:442.2pt;mso-wrap-distance-bottom:0pt;mso-wrap-distance-left:9pt;mso-wrap-distance-right:9pt;mso-wrap-distance-top:0pt;z-index:251672576;mso-width-relative:page;mso-height-relative:page;" o:ole="t" filled="f" o:preferrelative="f" stroked="f" coordsize="21600,21600">
            <v:path/>
            <v:fill on="f" focussize="0,0"/>
            <v:stroke on="f"/>
            <v:imagedata r:id="rId38" o:title=""/>
            <o:lock v:ext="edit" aspectratio="t"/>
            <w10:wrap type="square"/>
          </v:shape>
          <o:OLEObject Type="Embed" ProgID="Excel.Sheet.12" ShapeID="_x0000_s1034" DrawAspect="Content" ObjectID="_1468075732" r:id="rId37">
            <o:LockedField>false</o:LockedField>
          </o:OLEObject>
        </w:pict>
      </w:r>
    </w:p>
    <w:p w14:paraId="467BCCA3">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35" o:spid="_x0000_s1035" o:spt="75" type="#_x0000_t75" style="position:absolute;left:0pt;margin-left:-11.25pt;margin-top:19.5pt;height:649.95pt;width:440.95pt;mso-wrap-distance-bottom:0pt;mso-wrap-distance-left:9pt;mso-wrap-distance-right:9pt;mso-wrap-distance-top:0pt;z-index:251673600;mso-width-relative:page;mso-height-relative:page;" o:ole="t" filled="f" o:preferrelative="f" stroked="f" coordsize="21600,21600">
            <v:path/>
            <v:fill on="f" focussize="0,0"/>
            <v:stroke on="f"/>
            <v:imagedata r:id="rId40" o:title=""/>
            <o:lock v:ext="edit" aspectratio="t"/>
            <w10:wrap type="square"/>
          </v:shape>
          <o:OLEObject Type="Embed" ProgID="Excel.Sheet.12" ShapeID="_x0000_s1035" DrawAspect="Content" ObjectID="_1468075733" r:id="rId39">
            <o:LockedField>false</o:LockedField>
          </o:OLEObject>
        </w:pict>
      </w:r>
    </w:p>
    <w:p w14:paraId="7612D17C">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36" o:spid="_x0000_s1036" o:spt="75" type="#_x0000_t75" style="position:absolute;left:0pt;margin-left:-3.75pt;margin-top:12pt;height:661.85pt;width:442.25pt;mso-wrap-distance-bottom:0pt;mso-wrap-distance-left:9pt;mso-wrap-distance-right:9pt;mso-wrap-distance-top:0pt;z-index:251674624;mso-width-relative:page;mso-height-relative:page;" o:ole="t" filled="f" o:preferrelative="f" stroked="f" coordsize="21600,21600">
            <v:path/>
            <v:fill on="f" focussize="0,0"/>
            <v:stroke on="f"/>
            <v:imagedata r:id="rId42" o:title=""/>
            <o:lock v:ext="edit" aspectratio="t"/>
            <w10:wrap type="square"/>
          </v:shape>
          <o:OLEObject Type="Embed" ProgID="Excel.Sheet.12" ShapeID="_x0000_s1036" DrawAspect="Content" ObjectID="_1468075734" r:id="rId41">
            <o:LockedField>false</o:LockedField>
          </o:OLEObject>
        </w:pict>
      </w:r>
    </w:p>
    <w:p w14:paraId="5ECD4E33">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37" o:spid="_x0000_s1037" o:spt="75" type="#_x0000_t75" style="position:absolute;left:0pt;margin-left:-14.25pt;margin-top:13.5pt;height:641.35pt;width:445.55pt;mso-wrap-distance-bottom:0pt;mso-wrap-distance-left:9pt;mso-wrap-distance-right:9pt;mso-wrap-distance-top:0pt;z-index:251675648;mso-width-relative:page;mso-height-relative:page;" o:ole="t" filled="f" o:preferrelative="f" stroked="f" coordsize="21600,21600">
            <v:path/>
            <v:fill on="f" focussize="0,0"/>
            <v:stroke on="f"/>
            <v:imagedata r:id="rId44" o:title=""/>
            <o:lock v:ext="edit" aspectratio="t"/>
            <w10:wrap type="square"/>
          </v:shape>
          <o:OLEObject Type="Embed" ProgID="Excel.Sheet.12" ShapeID="_x0000_s1037" DrawAspect="Content" ObjectID="_1468075735" r:id="rId43">
            <o:LockedField>false</o:LockedField>
          </o:OLEObject>
        </w:pict>
      </w:r>
    </w:p>
    <w:p w14:paraId="6556CFB0">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38" o:spid="_x0000_s1038" o:spt="75" type="#_x0000_t75" style="position:absolute;left:0pt;margin-left:-5.25pt;margin-top:14.95pt;height:651.85pt;width:447.35pt;mso-wrap-distance-bottom:0pt;mso-wrap-distance-left:9pt;mso-wrap-distance-right:9pt;mso-wrap-distance-top:0pt;z-index:251676672;mso-width-relative:page;mso-height-relative:page;" o:ole="t" filled="f" o:preferrelative="f" stroked="f" coordsize="21600,21600">
            <v:path/>
            <v:fill on="f" focussize="0,0"/>
            <v:stroke on="f"/>
            <v:imagedata r:id="rId46" o:title=""/>
            <o:lock v:ext="edit" aspectratio="t"/>
            <w10:wrap type="square"/>
          </v:shape>
          <o:OLEObject Type="Embed" ProgID="Excel.Sheet.12" ShapeID="_x0000_s1038" DrawAspect="Content" ObjectID="_1468075736" r:id="rId45">
            <o:LockedField>false</o:LockedField>
          </o:OLEObject>
        </w:pict>
      </w:r>
    </w:p>
    <w:p w14:paraId="6A64D763">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p>
    <w:p w14:paraId="2E574A7F">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p>
    <w:p w14:paraId="05CE4D72">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p>
    <w:p w14:paraId="44B2270D">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p>
    <w:p w14:paraId="33C4F883">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39" o:spid="_x0000_s1039" o:spt="75" type="#_x0000_t75" style="position:absolute;left:0pt;margin-left:-6pt;margin-top:13.5pt;height:649pt;width:449.45pt;mso-wrap-distance-bottom:0pt;mso-wrap-distance-left:9pt;mso-wrap-distance-right:9pt;mso-wrap-distance-top:0pt;z-index:251677696;mso-width-relative:page;mso-height-relative:page;" o:ole="t" filled="f" o:preferrelative="f" stroked="f" coordsize="21600,21600">
            <v:path/>
            <v:fill on="f" focussize="0,0"/>
            <v:stroke on="f"/>
            <v:imagedata r:id="rId48" o:title=""/>
            <o:lock v:ext="edit" aspectratio="t"/>
            <w10:wrap type="square"/>
          </v:shape>
          <o:OLEObject Type="Embed" ProgID="Excel.Sheet.12" ShapeID="_x0000_s1039" DrawAspect="Content" ObjectID="_1468075737" r:id="rId47">
            <o:LockedField>false</o:LockedField>
          </o:OLEObject>
        </w:pict>
      </w:r>
    </w:p>
    <w:p w14:paraId="37D203AE">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rPr>
      </w:pPr>
      <w:r>
        <w:rPr>
          <w:rFonts w:hint="eastAsia" w:ascii="Times New Roman" w:hAnsi="Times New Roman" w:eastAsia="黑体"/>
          <w:color w:val="auto"/>
          <w:sz w:val="44"/>
          <w:szCs w:val="44"/>
          <w:highlight w:val="none"/>
          <w:lang w:eastAsia="zh-CN"/>
        </w:rPr>
        <w:pict>
          <v:shape id="_x0000_s1041" o:spid="_x0000_s1041" o:spt="75" type="#_x0000_t75" style="position:absolute;left:0pt;margin-left:-11.95pt;margin-top:8.2pt;height:665.65pt;width:439.2pt;mso-wrap-distance-bottom:0pt;mso-wrap-distance-left:9pt;mso-wrap-distance-right:9pt;mso-wrap-distance-top:0pt;z-index:251682816;mso-width-relative:page;mso-height-relative:page;" o:ole="t" filled="f" o:preferrelative="f" stroked="f" coordsize="21600,21600">
            <v:path/>
            <v:fill on="f" focussize="0,0"/>
            <v:stroke on="f"/>
            <v:imagedata r:id="rId50" o:title=""/>
            <o:lock v:ext="edit" aspectratio="t"/>
            <w10:wrap type="square"/>
          </v:shape>
          <o:OLEObject Type="Embed" ProgID="Excel.Sheet.12" ShapeID="_x0000_s1041" DrawAspect="Content" ObjectID="_1468075738" r:id="rId49">
            <o:LockedField>false</o:LockedField>
          </o:OLEObject>
        </w:pict>
      </w:r>
    </w:p>
    <w:p w14:paraId="1F0E27B0">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42" o:spid="_x0000_s1042" o:spt="75" type="#_x0000_t75" style="position:absolute;left:0pt;margin-left:-12pt;margin-top:2.25pt;height:669.95pt;width:441.45pt;mso-wrap-distance-bottom:0pt;mso-wrap-distance-left:9pt;mso-wrap-distance-right:9pt;mso-wrap-distance-top:0pt;z-index:251666432;mso-width-relative:page;mso-height-relative:page;" o:ole="t" filled="f" o:preferrelative="f" stroked="f" coordsize="21600,21600">
            <v:path/>
            <v:fill on="f" focussize="0,0"/>
            <v:stroke on="f"/>
            <v:imagedata r:id="rId52" o:title=""/>
            <o:lock v:ext="edit" aspectratio="t"/>
            <w10:wrap type="square"/>
          </v:shape>
          <o:OLEObject Type="Embed" ProgID="Excel.Sheet.12" ShapeID="_x0000_s1042" DrawAspect="Content" ObjectID="_1468075739" r:id="rId51">
            <o:LockedField>false</o:LockedField>
          </o:OLEObject>
        </w:pict>
      </w:r>
    </w:p>
    <w:p w14:paraId="25FFDECB">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43" o:spid="_x0000_s1043" o:spt="75" type="#_x0000_t75" style="position:absolute;left:0pt;margin-left:-8.25pt;margin-top:6.75pt;height:659pt;width:450.45pt;mso-wrap-distance-bottom:0pt;mso-wrap-distance-left:9pt;mso-wrap-distance-right:9pt;mso-wrap-distance-top:0pt;z-index:251667456;mso-width-relative:page;mso-height-relative:page;" o:ole="t" filled="f" o:preferrelative="f" stroked="f" coordsize="21600,21600">
            <v:path/>
            <v:fill on="f" focussize="0,0"/>
            <v:stroke on="f"/>
            <v:imagedata r:id="rId54" o:title=""/>
            <o:lock v:ext="edit" aspectratio="t"/>
            <w10:wrap type="square"/>
          </v:shape>
          <o:OLEObject Type="Embed" ProgID="Excel.Sheet.12" ShapeID="_x0000_s1043" DrawAspect="Content" ObjectID="_1468075740" r:id="rId53">
            <o:LockedField>false</o:LockedField>
          </o:OLEObject>
        </w:pict>
      </w:r>
    </w:p>
    <w:p w14:paraId="56288399">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44" o:spid="_x0000_s1044" o:spt="75" type="#_x0000_t75" style="position:absolute;left:0pt;margin-left:-12pt;margin-top:4.5pt;height:667.7pt;width:462.75pt;mso-wrap-distance-bottom:0pt;mso-wrap-distance-left:9pt;mso-wrap-distance-right:9pt;mso-wrap-distance-top:0pt;z-index:251668480;mso-width-relative:page;mso-height-relative:page;" o:ole="t" filled="f" o:preferrelative="f" stroked="f" coordsize="21600,21600">
            <v:path/>
            <v:fill on="f" focussize="0,0"/>
            <v:stroke on="f"/>
            <v:imagedata r:id="rId56" o:title=""/>
            <o:lock v:ext="edit" aspectratio="t"/>
            <w10:wrap type="square"/>
          </v:shape>
          <o:OLEObject Type="Embed" ProgID="Excel.Sheet.12" ShapeID="_x0000_s1044" DrawAspect="Content" ObjectID="_1468075741" r:id="rId55">
            <o:LockedField>false</o:LockedField>
          </o:OLEObject>
        </w:pict>
      </w:r>
    </w:p>
    <w:p w14:paraId="632E91ED">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45" o:spid="_x0000_s1045" o:spt="75" type="#_x0000_t75" style="position:absolute;left:0pt;margin-left:-9.75pt;margin-top:6pt;height:684.4pt;width:450.45pt;mso-wrap-distance-bottom:0pt;mso-wrap-distance-left:9pt;mso-wrap-distance-right:9pt;mso-wrap-distance-top:0pt;z-index:251669504;mso-width-relative:page;mso-height-relative:page;" o:ole="t" filled="f" o:preferrelative="f" stroked="f" coordsize="21600,21600">
            <v:path/>
            <v:fill on="f" focussize="0,0"/>
            <v:stroke on="f"/>
            <v:imagedata r:id="rId58" o:title=""/>
            <o:lock v:ext="edit" aspectratio="t"/>
            <w10:wrap type="square"/>
          </v:shape>
          <o:OLEObject Type="Embed" ProgID="Excel.Sheet.12" ShapeID="_x0000_s1045" DrawAspect="Content" ObjectID="_1468075742" r:id="rId57">
            <o:LockedField>false</o:LockedField>
          </o:OLEObject>
        </w:pict>
      </w:r>
    </w:p>
    <w:p w14:paraId="14FEE8C3">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46" o:spid="_x0000_s1046" o:spt="75" type="#_x0000_t75" style="position:absolute;left:0pt;margin-left:-3.75pt;margin-top:4.5pt;height:670.85pt;width:452.75pt;mso-wrap-distance-bottom:0pt;mso-wrap-distance-left:9pt;mso-wrap-distance-right:9pt;mso-wrap-distance-top:0pt;z-index:251670528;mso-width-relative:page;mso-height-relative:page;" o:ole="t" filled="f" o:preferrelative="f" stroked="f" coordsize="21600,21600">
            <v:path/>
            <v:fill on="f" focussize="0,0"/>
            <v:stroke on="f"/>
            <v:imagedata r:id="rId60" o:title=""/>
            <o:lock v:ext="edit" aspectratio="t"/>
            <w10:wrap type="square"/>
          </v:shape>
          <o:OLEObject Type="Embed" ProgID="Excel.Sheet.12" ShapeID="_x0000_s1046" DrawAspect="Content" ObjectID="_1468075743" r:id="rId59">
            <o:LockedField>false</o:LockedField>
          </o:OLEObject>
        </w:pict>
      </w:r>
    </w:p>
    <w:p w14:paraId="65355A42">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47" o:spid="_x0000_s1047" o:spt="75" type="#_x0000_t75" style="position:absolute;left:0pt;margin-left:-9pt;margin-top:3.75pt;height:679.75pt;width:432.5pt;mso-wrap-distance-bottom:0pt;mso-wrap-distance-left:9pt;mso-wrap-distance-right:9pt;mso-wrap-distance-top:0pt;z-index:251671552;mso-width-relative:page;mso-height-relative:page;" o:ole="t" filled="f" o:preferrelative="f" stroked="f" coordsize="21600,21600">
            <v:path/>
            <v:fill on="f" focussize="0,0"/>
            <v:stroke on="f"/>
            <v:imagedata r:id="rId62" o:title=""/>
            <o:lock v:ext="edit" aspectratio="t"/>
            <w10:wrap type="square"/>
          </v:shape>
          <o:OLEObject Type="Embed" ProgID="Excel.Sheet.12" ShapeID="_x0000_s1047" DrawAspect="Content" ObjectID="_1468075744" r:id="rId61">
            <o:LockedField>false</o:LockedField>
          </o:OLEObject>
        </w:pict>
      </w:r>
    </w:p>
    <w:p w14:paraId="5D081C18">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48" o:spid="_x0000_s1048" o:spt="75" type="#_x0000_t75" style="position:absolute;left:0pt;margin-left:-19.5pt;margin-top:14.2pt;height:663.55pt;width:461.2pt;mso-wrap-distance-bottom:0pt;mso-wrap-distance-left:9pt;mso-wrap-distance-right:9pt;mso-wrap-distance-top:0pt;z-index:251672576;mso-width-relative:page;mso-height-relative:page;" o:ole="t" filled="f" o:preferrelative="f" stroked="f" coordsize="21600,21600">
            <v:path/>
            <v:fill on="f" focussize="0,0"/>
            <v:stroke on="f"/>
            <v:imagedata r:id="rId64" o:title=""/>
            <o:lock v:ext="edit" aspectratio="t"/>
            <w10:wrap type="square"/>
          </v:shape>
          <o:OLEObject Type="Embed" ProgID="Excel.Sheet.12" ShapeID="_x0000_s1048" DrawAspect="Content" ObjectID="_1468075745" r:id="rId63">
            <o:LockedField>false</o:LockedField>
          </o:OLEObject>
        </w:pict>
      </w:r>
    </w:p>
    <w:p w14:paraId="625CEDA3">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49" o:spid="_x0000_s1049" o:spt="75" type="#_x0000_t75" style="position:absolute;left:0pt;margin-left:-7.5pt;margin-top:14.25pt;height:661.35pt;width:454.45pt;mso-wrap-distance-bottom:0pt;mso-wrap-distance-left:9pt;mso-wrap-distance-right:9pt;mso-wrap-distance-top:0pt;z-index:251673600;mso-width-relative:page;mso-height-relative:page;" o:ole="t" filled="f" o:preferrelative="f" stroked="f" coordsize="21600,21600">
            <v:path/>
            <v:fill on="f" focussize="0,0"/>
            <v:stroke on="f"/>
            <v:imagedata r:id="rId66" o:title=""/>
            <o:lock v:ext="edit" aspectratio="t"/>
            <w10:wrap type="square"/>
          </v:shape>
          <o:OLEObject Type="Embed" ProgID="Excel.Sheet.12" ShapeID="_x0000_s1049" DrawAspect="Content" ObjectID="_1468075746" r:id="rId65">
            <o:LockedField>false</o:LockedField>
          </o:OLEObject>
        </w:pict>
      </w:r>
    </w:p>
    <w:p w14:paraId="6573BADB">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50" o:spid="_x0000_s1050" o:spt="75" type="#_x0000_t75" style="position:absolute;left:0pt;margin-left:-8.25pt;margin-top:31.45pt;height:642.8pt;width:448.75pt;mso-wrap-distance-bottom:0pt;mso-wrap-distance-left:9pt;mso-wrap-distance-right:9pt;mso-wrap-distance-top:0pt;z-index:251674624;mso-width-relative:page;mso-height-relative:page;" o:ole="t" filled="f" o:preferrelative="f" stroked="f" coordsize="21600,21600">
            <v:path/>
            <v:fill on="f" focussize="0,0"/>
            <v:stroke on="f"/>
            <v:imagedata r:id="rId68" o:title=""/>
            <o:lock v:ext="edit" aspectratio="t"/>
            <w10:wrap type="square"/>
          </v:shape>
          <o:OLEObject Type="Embed" ProgID="Excel.Sheet.12" ShapeID="_x0000_s1050" DrawAspect="Content" ObjectID="_1468075747" r:id="rId67">
            <o:LockedField>false</o:LockedField>
          </o:OLEObject>
        </w:pict>
      </w:r>
    </w:p>
    <w:p w14:paraId="27EDF5F3">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51" o:spid="_x0000_s1051" o:spt="75" type="#_x0000_t75" style="position:absolute;left:0pt;margin-left:-14.25pt;margin-top:13.45pt;height:656.25pt;width:454.65pt;mso-wrap-distance-bottom:0pt;mso-wrap-distance-left:9pt;mso-wrap-distance-right:9pt;mso-wrap-distance-top:0pt;z-index:251675648;mso-width-relative:page;mso-height-relative:page;" o:ole="t" filled="f" o:preferrelative="f" stroked="f" coordsize="21600,21600">
            <v:path/>
            <v:fill on="f" focussize="0,0"/>
            <v:stroke on="f"/>
            <v:imagedata r:id="rId70" o:title=""/>
            <o:lock v:ext="edit" aspectratio="t"/>
            <w10:wrap type="square"/>
          </v:shape>
          <o:OLEObject Type="Embed" ProgID="Excel.Sheet.12" ShapeID="_x0000_s1051" DrawAspect="Content" ObjectID="_1468075748" r:id="rId69">
            <o:LockedField>false</o:LockedField>
          </o:OLEObject>
        </w:pict>
      </w:r>
    </w:p>
    <w:p w14:paraId="75B1906C">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52" o:spid="_x0000_s1052" o:spt="75" type="#_x0000_t75" style="position:absolute;left:0pt;margin-left:-11.25pt;margin-top:8.2pt;height:661.95pt;width:463.5pt;mso-wrap-distance-bottom:0pt;mso-wrap-distance-left:9pt;mso-wrap-distance-right:9pt;mso-wrap-distance-top:0pt;z-index:251676672;mso-width-relative:page;mso-height-relative:page;" o:ole="t" filled="f" o:preferrelative="f" stroked="f" coordsize="21600,21600">
            <v:path/>
            <v:fill on="f" focussize="0,0"/>
            <v:stroke on="f"/>
            <v:imagedata r:id="rId72" o:title=""/>
            <o:lock v:ext="edit" aspectratio="t"/>
            <w10:wrap type="square"/>
          </v:shape>
          <o:OLEObject Type="Embed" ProgID="Excel.Sheet.12" ShapeID="_x0000_s1052" DrawAspect="Content" ObjectID="_1468075749" r:id="rId71">
            <o:LockedField>false</o:LockedField>
          </o:OLEObject>
        </w:pict>
      </w:r>
    </w:p>
    <w:p w14:paraId="12395EC2">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53" o:spid="_x0000_s1053" o:spt="75" type="#_x0000_t75" style="position:absolute;left:0pt;margin-left:-6pt;margin-top:5.25pt;height:666.55pt;width:463.55pt;mso-wrap-distance-bottom:0pt;mso-wrap-distance-left:9pt;mso-wrap-distance-right:9pt;mso-wrap-distance-top:0pt;z-index:251677696;mso-width-relative:page;mso-height-relative:page;" o:ole="t" filled="f" o:preferrelative="f" stroked="f" coordsize="21600,21600">
            <v:path/>
            <v:fill on="f" focussize="0,0"/>
            <v:stroke on="f"/>
            <v:imagedata r:id="rId74" o:title=""/>
            <o:lock v:ext="edit" aspectratio="t"/>
            <w10:wrap type="square"/>
          </v:shape>
          <o:OLEObject Type="Embed" ProgID="Excel.Sheet.12" ShapeID="_x0000_s1053" DrawAspect="Content" ObjectID="_1468075750" r:id="rId73">
            <o:LockedField>false</o:LockedField>
          </o:OLEObject>
        </w:pict>
      </w:r>
    </w:p>
    <w:p w14:paraId="19CBC297">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54" o:spid="_x0000_s1054" o:spt="75" type="#_x0000_t75" style="position:absolute;left:0pt;margin-left:-10.5pt;margin-top:12.75pt;height:675.75pt;width:464.65pt;mso-wrap-distance-bottom:0pt;mso-wrap-distance-left:9pt;mso-wrap-distance-right:9pt;mso-wrap-distance-top:0pt;z-index:251678720;mso-width-relative:page;mso-height-relative:page;" o:ole="t" filled="f" o:preferrelative="f" stroked="f" coordsize="21600,21600">
            <v:path/>
            <v:fill on="f" focussize="0,0"/>
            <v:stroke on="f"/>
            <v:imagedata r:id="rId76" o:title=""/>
            <o:lock v:ext="edit" aspectratio="t"/>
            <w10:wrap type="square"/>
          </v:shape>
          <o:OLEObject Type="Embed" ProgID="Excel.Sheet.12" ShapeID="_x0000_s1054" DrawAspect="Content" ObjectID="_1468075751" r:id="rId75">
            <o:LockedField>false</o:LockedField>
          </o:OLEObject>
        </w:pict>
      </w:r>
    </w:p>
    <w:p w14:paraId="3682A2FB">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55" o:spid="_x0000_s1055" o:spt="75" type="#_x0000_t75" style="position:absolute;left:0pt;margin-left:-9pt;margin-top:8.15pt;height:656.9pt;width:461.95pt;mso-wrap-distance-bottom:0pt;mso-wrap-distance-left:9pt;mso-wrap-distance-right:9pt;mso-wrap-distance-top:0pt;z-index:251679744;mso-width-relative:page;mso-height-relative:page;" o:ole="t" filled="f" o:preferrelative="f" stroked="f" coordsize="21600,21600">
            <v:path/>
            <v:fill on="f" focussize="0,0"/>
            <v:stroke on="f"/>
            <v:imagedata r:id="rId78" o:title=""/>
            <o:lock v:ext="edit" aspectratio="t"/>
            <w10:wrap type="square"/>
          </v:shape>
          <o:OLEObject Type="Embed" ProgID="Excel.Sheet.12" ShapeID="_x0000_s1055" DrawAspect="Content" ObjectID="_1468075752" r:id="rId77">
            <o:LockedField>false</o:LockedField>
          </o:OLEObject>
        </w:pict>
      </w:r>
    </w:p>
    <w:p w14:paraId="76AF9096">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56" o:spid="_x0000_s1056" o:spt="75" type="#_x0000_t75" style="position:absolute;left:0pt;margin-left:-15.75pt;margin-top:13.45pt;height:637.3pt;width:466.65pt;mso-wrap-distance-bottom:0pt;mso-wrap-distance-left:9pt;mso-wrap-distance-right:9pt;mso-wrap-distance-top:0pt;z-index:251680768;mso-width-relative:page;mso-height-relative:page;" o:ole="t" filled="f" o:preferrelative="f" stroked="f" coordsize="21600,21600">
            <v:path/>
            <v:fill on="f" focussize="0,0"/>
            <v:stroke on="f"/>
            <v:imagedata r:id="rId80" o:title=""/>
            <o:lock v:ext="edit" aspectratio="t"/>
            <w10:wrap type="square"/>
          </v:shape>
          <o:OLEObject Type="Embed" ProgID="Excel.Sheet.12" ShapeID="_x0000_s1056" DrawAspect="Content" ObjectID="_1468075753" r:id="rId79">
            <o:LockedField>false</o:LockedField>
          </o:OLEObject>
        </w:pict>
      </w:r>
    </w:p>
    <w:p w14:paraId="2C75629A">
      <w:pPr>
        <w:pageBreakBefore w:val="0"/>
        <w:widowControl/>
        <w:kinsoku/>
        <w:wordWrap/>
        <w:overflowPunct/>
        <w:topLinePunct w:val="0"/>
        <w:bidi w:val="0"/>
        <w:spacing w:line="480" w:lineRule="exact"/>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pict>
          <v:shape id="_x0000_s1057" o:spid="_x0000_s1057" o:spt="75" type="#_x0000_t75" style="position:absolute;left:0pt;margin-left:-15.75pt;margin-top:8.95pt;height:680.15pt;width:470.15pt;mso-wrap-distance-bottom:0pt;mso-wrap-distance-left:9pt;mso-wrap-distance-right:9pt;mso-wrap-distance-top:0pt;z-index:251681792;mso-width-relative:page;mso-height-relative:page;" o:ole="t" filled="f" o:preferrelative="f" stroked="f" coordsize="21600,21600">
            <v:path/>
            <v:fill on="f" focussize="0,0"/>
            <v:stroke on="f"/>
            <v:imagedata r:id="rId82" o:title=""/>
            <o:lock v:ext="edit" aspectratio="t"/>
            <w10:wrap type="square"/>
          </v:shape>
          <o:OLEObject Type="Embed" ProgID="Excel.Sheet.12" ShapeID="_x0000_s1057" DrawAspect="Content" ObjectID="_1468075754" r:id="rId81">
            <o:LockedField>false</o:LockedField>
          </o:OLEObject>
        </w:pict>
      </w:r>
    </w:p>
    <w:p w14:paraId="74D88C6F">
      <w:pPr>
        <w:pageBreakBefore w:val="0"/>
        <w:widowControl/>
        <w:kinsoku/>
        <w:wordWrap/>
        <w:overflowPunct/>
        <w:topLinePunct w:val="0"/>
        <w:bidi w:val="0"/>
        <w:spacing w:line="480" w:lineRule="exact"/>
        <w:jc w:val="center"/>
        <w:rPr>
          <w:rFonts w:hint="eastAsia" w:ascii="Times New Roman" w:hAnsi="Times New Roman" w:eastAsia="仿宋"/>
          <w:b w:val="0"/>
          <w:color w:val="auto"/>
          <w:highlight w:val="none"/>
        </w:rPr>
      </w:pPr>
      <w:r>
        <w:rPr>
          <w:rFonts w:hint="eastAsia" w:ascii="Times New Roman" w:hAnsi="Times New Roman" w:eastAsia="黑体"/>
          <w:color w:val="auto"/>
          <w:sz w:val="44"/>
          <w:szCs w:val="44"/>
          <w:highlight w:val="none"/>
        </w:rPr>
        <w:t>第</w:t>
      </w:r>
      <w:r>
        <w:rPr>
          <w:rStyle w:val="17"/>
          <w:rFonts w:hint="eastAsia" w:ascii="Times New Roman" w:hAnsi="Times New Roman" w:eastAsia="黑体"/>
          <w:b w:val="0"/>
          <w:color w:val="auto"/>
          <w:highlight w:val="none"/>
        </w:rPr>
        <w:t>五部分 附表</w:t>
      </w:r>
      <w:bookmarkEnd w:id="52"/>
      <w:bookmarkEnd w:id="56"/>
      <w:bookmarkStart w:id="57" w:name="_Toc15396619"/>
    </w:p>
    <w:p w14:paraId="7639F53D">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p>
    <w:p w14:paraId="07E6F83A">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一、收入支出决算总表</w:t>
      </w:r>
      <w:bookmarkEnd w:id="57"/>
    </w:p>
    <w:p w14:paraId="50BC6CA7">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bookmarkStart w:id="58" w:name="_Toc15396620"/>
      <w:r>
        <w:rPr>
          <w:rFonts w:hint="eastAsia" w:ascii="Times New Roman" w:hAnsi="Times New Roman" w:eastAsia="仿宋_GB2312" w:cs="仿宋_GB2312"/>
          <w:color w:val="auto"/>
          <w:sz w:val="32"/>
          <w:szCs w:val="32"/>
          <w:highlight w:val="none"/>
        </w:rPr>
        <w:t>二、收入决算表</w:t>
      </w:r>
      <w:bookmarkEnd w:id="58"/>
    </w:p>
    <w:p w14:paraId="01AE8204">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bookmarkStart w:id="59" w:name="_Toc15396621"/>
      <w:r>
        <w:rPr>
          <w:rFonts w:hint="eastAsia" w:ascii="Times New Roman" w:hAnsi="Times New Roman" w:eastAsia="仿宋_GB2312" w:cs="仿宋_GB2312"/>
          <w:color w:val="auto"/>
          <w:sz w:val="32"/>
          <w:szCs w:val="32"/>
          <w:highlight w:val="none"/>
        </w:rPr>
        <w:t>三、支出决算表</w:t>
      </w:r>
      <w:bookmarkEnd w:id="59"/>
    </w:p>
    <w:p w14:paraId="53589873">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bookmarkStart w:id="60" w:name="_Toc15396622"/>
      <w:r>
        <w:rPr>
          <w:rFonts w:hint="eastAsia" w:ascii="Times New Roman" w:hAnsi="Times New Roman" w:eastAsia="仿宋_GB2312" w:cs="仿宋_GB2312"/>
          <w:color w:val="auto"/>
          <w:sz w:val="32"/>
          <w:szCs w:val="32"/>
          <w:highlight w:val="none"/>
        </w:rPr>
        <w:t>四、财政拨款收入支出决算总表</w:t>
      </w:r>
      <w:bookmarkEnd w:id="60"/>
    </w:p>
    <w:p w14:paraId="17A58037">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bookmarkStart w:id="61" w:name="_Toc15396623"/>
      <w:r>
        <w:rPr>
          <w:rFonts w:hint="eastAsia" w:ascii="Times New Roman" w:hAnsi="Times New Roman" w:eastAsia="仿宋_GB2312" w:cs="仿宋_GB2312"/>
          <w:color w:val="auto"/>
          <w:sz w:val="32"/>
          <w:szCs w:val="32"/>
          <w:highlight w:val="none"/>
        </w:rPr>
        <w:t>五、财政拨款支出决算明细表</w:t>
      </w:r>
      <w:bookmarkEnd w:id="61"/>
      <w:bookmarkStart w:id="62" w:name="_Toc15396624"/>
    </w:p>
    <w:p w14:paraId="7D07480A">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bookmarkEnd w:id="62"/>
    </w:p>
    <w:p w14:paraId="64A6754D">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bookmarkStart w:id="63" w:name="_Toc15396625"/>
      <w:r>
        <w:rPr>
          <w:rFonts w:hint="eastAsia" w:ascii="Times New Roman" w:hAnsi="Times New Roman" w:eastAsia="仿宋_GB2312" w:cs="仿宋_GB2312"/>
          <w:color w:val="auto"/>
          <w:sz w:val="32"/>
          <w:szCs w:val="32"/>
          <w:highlight w:val="none"/>
        </w:rPr>
        <w:t>七、一般公共预算财政拨款支出决算明细表</w:t>
      </w:r>
      <w:bookmarkEnd w:id="63"/>
    </w:p>
    <w:p w14:paraId="603C1245">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bookmarkStart w:id="64" w:name="_Toc15396626"/>
      <w:r>
        <w:rPr>
          <w:rFonts w:hint="eastAsia" w:ascii="Times New Roman" w:hAnsi="Times New Roman" w:eastAsia="仿宋_GB2312" w:cs="仿宋_GB2312"/>
          <w:color w:val="auto"/>
          <w:sz w:val="32"/>
          <w:szCs w:val="32"/>
          <w:highlight w:val="none"/>
        </w:rPr>
        <w:t>八、一般公共预算财政拨款基本支出决算表</w:t>
      </w:r>
      <w:bookmarkEnd w:id="64"/>
    </w:p>
    <w:p w14:paraId="6C46B5BC">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bookmarkStart w:id="65" w:name="_Toc15396627"/>
      <w:r>
        <w:rPr>
          <w:rFonts w:hint="eastAsia" w:ascii="Times New Roman" w:hAnsi="Times New Roman" w:eastAsia="仿宋_GB2312" w:cs="仿宋_GB2312"/>
          <w:color w:val="auto"/>
          <w:sz w:val="32"/>
          <w:szCs w:val="32"/>
          <w:highlight w:val="none"/>
        </w:rPr>
        <w:t>九、一般公共预算财政拨款项目支出决算表</w:t>
      </w:r>
      <w:bookmarkEnd w:id="65"/>
    </w:p>
    <w:p w14:paraId="1124782C">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bookmarkStart w:id="66" w:name="_Toc15396628"/>
      <w:r>
        <w:rPr>
          <w:rFonts w:hint="eastAsia" w:ascii="Times New Roman" w:hAnsi="Times New Roman" w:eastAsia="仿宋_GB2312" w:cs="仿宋_GB2312"/>
          <w:color w:val="auto"/>
          <w:sz w:val="32"/>
          <w:szCs w:val="32"/>
          <w:highlight w:val="none"/>
        </w:rPr>
        <w:t>十、</w:t>
      </w:r>
      <w:bookmarkEnd w:id="66"/>
      <w:r>
        <w:rPr>
          <w:rFonts w:hint="eastAsia" w:ascii="Times New Roman" w:hAnsi="Times New Roman" w:eastAsia="仿宋_GB2312" w:cs="仿宋_GB2312"/>
          <w:color w:val="auto"/>
          <w:sz w:val="32"/>
          <w:szCs w:val="32"/>
          <w:highlight w:val="none"/>
        </w:rPr>
        <w:t>政府性基金预算财政拨款收入支出决算表</w:t>
      </w:r>
    </w:p>
    <w:p w14:paraId="36FB3840">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bookmarkStart w:id="67" w:name="_Toc15396629"/>
      <w:r>
        <w:rPr>
          <w:rFonts w:hint="eastAsia" w:ascii="Times New Roman" w:hAnsi="Times New Roman" w:eastAsia="仿宋_GB2312" w:cs="仿宋_GB2312"/>
          <w:color w:val="auto"/>
          <w:sz w:val="32"/>
          <w:szCs w:val="32"/>
          <w:highlight w:val="none"/>
        </w:rPr>
        <w:t>十一、</w:t>
      </w:r>
      <w:bookmarkEnd w:id="67"/>
      <w:r>
        <w:rPr>
          <w:rFonts w:hint="eastAsia" w:ascii="Times New Roman" w:hAnsi="Times New Roman" w:eastAsia="仿宋_GB2312" w:cs="仿宋_GB2312"/>
          <w:color w:val="auto"/>
          <w:sz w:val="32"/>
          <w:szCs w:val="32"/>
          <w:highlight w:val="none"/>
        </w:rPr>
        <w:t>国有资本经营预算</w:t>
      </w:r>
      <w:r>
        <w:rPr>
          <w:rFonts w:hint="eastAsia" w:ascii="Times New Roman" w:hAnsi="Times New Roman" w:eastAsia="仿宋_GB2312" w:cs="仿宋_GB2312"/>
          <w:color w:val="auto"/>
          <w:sz w:val="32"/>
          <w:szCs w:val="32"/>
          <w:highlight w:val="none"/>
          <w:lang w:eastAsia="zh-CN"/>
        </w:rPr>
        <w:t>财政拨款收入</w:t>
      </w:r>
      <w:r>
        <w:rPr>
          <w:rFonts w:hint="eastAsia" w:ascii="Times New Roman" w:hAnsi="Times New Roman" w:eastAsia="仿宋_GB2312" w:cs="仿宋_GB2312"/>
          <w:color w:val="auto"/>
          <w:sz w:val="32"/>
          <w:szCs w:val="32"/>
          <w:highlight w:val="none"/>
        </w:rPr>
        <w:t>支出决算表</w:t>
      </w:r>
    </w:p>
    <w:p w14:paraId="4DEEDD9C">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rPr>
      </w:pPr>
      <w:bookmarkStart w:id="68" w:name="_Toc15396630"/>
      <w:r>
        <w:rPr>
          <w:rFonts w:hint="eastAsia" w:ascii="Times New Roman" w:hAnsi="Times New Roman" w:eastAsia="仿宋_GB2312" w:cs="仿宋_GB2312"/>
          <w:color w:val="auto"/>
          <w:sz w:val="32"/>
          <w:szCs w:val="32"/>
          <w:highlight w:val="none"/>
        </w:rPr>
        <w:t>十二、</w:t>
      </w:r>
      <w:bookmarkEnd w:id="68"/>
      <w:r>
        <w:rPr>
          <w:rFonts w:hint="eastAsia" w:ascii="Times New Roman" w:hAnsi="Times New Roman" w:eastAsia="仿宋_GB2312" w:cs="仿宋_GB2312"/>
          <w:color w:val="auto"/>
          <w:sz w:val="32"/>
          <w:szCs w:val="32"/>
          <w:highlight w:val="none"/>
          <w:lang w:eastAsia="zh-CN"/>
        </w:rPr>
        <w:t>国有资本经营预算财政拨款支出决算表</w:t>
      </w:r>
    </w:p>
    <w:p w14:paraId="3242FF5B">
      <w:pPr>
        <w:pStyle w:val="11"/>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Times New Roman" w:hAnsi="Times New Roman" w:eastAsia="仿宋_GB2312" w:cs="仿宋_GB2312"/>
          <w:color w:val="auto"/>
          <w:sz w:val="32"/>
          <w:szCs w:val="32"/>
          <w:highlight w:val="none"/>
          <w:lang w:eastAsia="zh-CN"/>
        </w:rPr>
      </w:pPr>
      <w:bookmarkStart w:id="69" w:name="_Toc15396631"/>
      <w:r>
        <w:rPr>
          <w:rFonts w:hint="eastAsia" w:ascii="Times New Roman" w:hAnsi="Times New Roman" w:eastAsia="仿宋_GB2312" w:cs="仿宋_GB2312"/>
          <w:color w:val="auto"/>
          <w:sz w:val="32"/>
          <w:szCs w:val="32"/>
          <w:highlight w:val="none"/>
        </w:rPr>
        <w:t>十三、</w:t>
      </w:r>
      <w:bookmarkEnd w:id="69"/>
      <w:r>
        <w:rPr>
          <w:rFonts w:hint="eastAsia" w:ascii="Times New Roman" w:hAnsi="Times New Roman" w:eastAsia="仿宋_GB2312" w:cs="仿宋_GB2312"/>
          <w:color w:val="auto"/>
          <w:sz w:val="32"/>
          <w:szCs w:val="32"/>
          <w:highlight w:val="none"/>
          <w:lang w:eastAsia="zh-CN"/>
        </w:rPr>
        <w:t>财政拨款“三公”经费支出决算表</w:t>
      </w:r>
    </w:p>
    <w:p w14:paraId="6D2A8030">
      <w:pPr>
        <w:pageBreakBefore w:val="0"/>
        <w:kinsoku/>
        <w:wordWrap/>
        <w:overflowPunct/>
        <w:topLinePunct w:val="0"/>
        <w:bidi w:val="0"/>
        <w:spacing w:line="480" w:lineRule="exact"/>
        <w:rPr>
          <w:rFonts w:hint="eastAsia" w:ascii="Times New Roman" w:hAnsi="Times New Roman"/>
          <w:lang w:eastAsia="zh-CN"/>
        </w:rPr>
      </w:pPr>
    </w:p>
    <w:p w14:paraId="0C7635AA"/>
    <w:sectPr>
      <w:footerReference r:id="rId14" w:type="first"/>
      <w:footerReference r:id="rId13"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仿宋_GB2312"/>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E6983">
    <w:pPr>
      <w:pStyle w:val="8"/>
      <w:jc w:val="center"/>
    </w:pPr>
  </w:p>
  <w:p w14:paraId="4F975058">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C56F2">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B4BAC">
    <w:pPr>
      <w:pStyle w:val="8"/>
      <w:jc w:val="center"/>
    </w:pPr>
  </w:p>
  <w:p w14:paraId="2FA356C7">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D3F2F">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F8A11">
    <w:pPr>
      <w:pStyle w:val="8"/>
      <w:jc w:val="center"/>
    </w:pPr>
  </w:p>
  <w:p w14:paraId="20BECA16">
    <w:pPr>
      <w:pStyle w:val="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8B5288">
    <w:pPr>
      <w:pStyle w:val="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62500F">
    <w:pPr>
      <w:pStyle w:val="8"/>
      <w:jc w:val="center"/>
    </w:pPr>
  </w:p>
  <w:p w14:paraId="74AFC04C">
    <w:pPr>
      <w:pStyle w:val="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BB3ADD">
    <w:pPr>
      <w:pStyle w:val="8"/>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298B9B">
    <w:pPr>
      <w:pStyle w:val="8"/>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37680F">
                          <w:pPr>
                            <w:pStyle w:val="8"/>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F37680F">
                    <w:pPr>
                      <w:pStyle w:val="8"/>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p w14:paraId="7D669CAE">
    <w:pPr>
      <w:pStyle w:val="8"/>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91036">
    <w:pPr>
      <w:pStyle w:val="8"/>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5B56B9">
                          <w:pPr>
                            <w:pStyle w:val="8"/>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25B56B9">
                    <w:pPr>
                      <w:pStyle w:val="8"/>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E378F">
    <w:pPr>
      <w:pStyle w:val="9"/>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F0ABB">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2370F9"/>
    <w:multiLevelType w:val="singleLevel"/>
    <w:tmpl w:val="9B2370F9"/>
    <w:lvl w:ilvl="0" w:tentative="0">
      <w:start w:val="2"/>
      <w:numFmt w:val="chineseCounting"/>
      <w:suff w:val="nothing"/>
      <w:lvlText w:val="（%1）"/>
      <w:lvlJc w:val="left"/>
      <w:rPr>
        <w:rFonts w:hint="eastAsia"/>
      </w:rPr>
    </w:lvl>
  </w:abstractNum>
  <w:abstractNum w:abstractNumId="1">
    <w:nsid w:val="C17C4407"/>
    <w:multiLevelType w:val="singleLevel"/>
    <w:tmpl w:val="C17C4407"/>
    <w:lvl w:ilvl="0" w:tentative="0">
      <w:start w:val="2"/>
      <w:numFmt w:val="chineseCounting"/>
      <w:suff w:val="nothing"/>
      <w:lvlText w:val="（%1）"/>
      <w:lvlJc w:val="left"/>
      <w:rPr>
        <w:rFonts w:hint="eastAsia"/>
      </w:rPr>
    </w:lvl>
  </w:abstractNum>
  <w:abstractNum w:abstractNumId="2">
    <w:nsid w:val="E0EEFC7A"/>
    <w:multiLevelType w:val="singleLevel"/>
    <w:tmpl w:val="E0EEFC7A"/>
    <w:lvl w:ilvl="0" w:tentative="0">
      <w:start w:val="3"/>
      <w:numFmt w:val="chineseCounting"/>
      <w:suff w:val="nothing"/>
      <w:lvlText w:val="（%1）"/>
      <w:lvlJc w:val="left"/>
      <w:rPr>
        <w:rFonts w:hint="eastAsia"/>
      </w:rPr>
    </w:lvl>
  </w:abstractNum>
  <w:abstractNum w:abstractNumId="3">
    <w:nsid w:val="F2D73D77"/>
    <w:multiLevelType w:val="singleLevel"/>
    <w:tmpl w:val="F2D73D77"/>
    <w:lvl w:ilvl="0" w:tentative="0">
      <w:start w:val="1"/>
      <w:numFmt w:val="chineseCounting"/>
      <w:suff w:val="nothing"/>
      <w:lvlText w:val="%1、"/>
      <w:lvlJc w:val="left"/>
      <w:rPr>
        <w:rFonts w:hint="eastAsia"/>
      </w:rPr>
    </w:lvl>
  </w:abstractNum>
  <w:abstractNum w:abstractNumId="4">
    <w:nsid w:val="637495B4"/>
    <w:multiLevelType w:val="singleLevel"/>
    <w:tmpl w:val="637495B4"/>
    <w:lvl w:ilvl="0" w:tentative="0">
      <w:start w:val="5"/>
      <w:numFmt w:val="chineseCounting"/>
      <w:suff w:val="nothing"/>
      <w:lvlText w:val="%1、"/>
      <w:lvlJc w:val="left"/>
      <w:rPr>
        <w:rFonts w:hint="eastAsia"/>
      </w:rPr>
    </w:lvl>
  </w:abstractNum>
  <w:abstractNum w:abstractNumId="5">
    <w:nsid w:val="7296E9B7"/>
    <w:multiLevelType w:val="singleLevel"/>
    <w:tmpl w:val="7296E9B7"/>
    <w:lvl w:ilvl="0" w:tentative="0">
      <w:start w:val="2"/>
      <w:numFmt w:val="chineseCounting"/>
      <w:suff w:val="nothing"/>
      <w:lvlText w:val="（%1）"/>
      <w:lvlJc w:val="left"/>
      <w:rPr>
        <w:rFonts w:hint="eastAsia"/>
      </w:rPr>
    </w:lvl>
  </w:abstractNum>
  <w:num w:numId="1">
    <w:abstractNumId w:val="3"/>
  </w:num>
  <w:num w:numId="2">
    <w:abstractNumId w:val="1"/>
  </w:num>
  <w:num w:numId="3">
    <w:abstractNumId w:val="0"/>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7A39A5"/>
    <w:rsid w:val="00841FD8"/>
    <w:rsid w:val="0236335D"/>
    <w:rsid w:val="08AC6127"/>
    <w:rsid w:val="0D093B48"/>
    <w:rsid w:val="0E53145F"/>
    <w:rsid w:val="14E153AA"/>
    <w:rsid w:val="163065E9"/>
    <w:rsid w:val="175B1444"/>
    <w:rsid w:val="175D340E"/>
    <w:rsid w:val="1943387E"/>
    <w:rsid w:val="1CC45CDD"/>
    <w:rsid w:val="1CD17CE7"/>
    <w:rsid w:val="1EA7375C"/>
    <w:rsid w:val="20CE2C87"/>
    <w:rsid w:val="221E551B"/>
    <w:rsid w:val="22D64075"/>
    <w:rsid w:val="24613E12"/>
    <w:rsid w:val="26317AFF"/>
    <w:rsid w:val="287A39A5"/>
    <w:rsid w:val="316513E5"/>
    <w:rsid w:val="325072C9"/>
    <w:rsid w:val="3D9F17DB"/>
    <w:rsid w:val="419D335C"/>
    <w:rsid w:val="42A41642"/>
    <w:rsid w:val="48E74F2A"/>
    <w:rsid w:val="4B9A1834"/>
    <w:rsid w:val="4F9667B6"/>
    <w:rsid w:val="5217390D"/>
    <w:rsid w:val="5463135D"/>
    <w:rsid w:val="5CAB1AF3"/>
    <w:rsid w:val="5D812F12"/>
    <w:rsid w:val="5FCD7FD2"/>
    <w:rsid w:val="5FDC1FC3"/>
    <w:rsid w:val="5FEC7DEC"/>
    <w:rsid w:val="662D2C15"/>
    <w:rsid w:val="66AC7D60"/>
    <w:rsid w:val="670342D9"/>
    <w:rsid w:val="6ABE0C43"/>
    <w:rsid w:val="6B6A0DCB"/>
    <w:rsid w:val="6D736571"/>
    <w:rsid w:val="6DE07122"/>
    <w:rsid w:val="77E500BF"/>
    <w:rsid w:val="78F43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pPr>
    <w:rPr>
      <w:rFonts w:ascii="Calibri" w:hAnsi="Calibri"/>
      <w:szCs w:val="22"/>
    </w:rPr>
  </w:style>
  <w:style w:type="paragraph" w:styleId="6">
    <w:name w:val="Body Text"/>
    <w:basedOn w:val="1"/>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Chars="200"/>
    </w:pPr>
    <w:rPr>
      <w:rFonts w:ascii="仿宋_GB2312"/>
      <w:szCs w:val="32"/>
    </w:rPr>
  </w:style>
  <w:style w:type="paragraph" w:styleId="8">
    <w:name w:val="footer"/>
    <w:basedOn w:val="1"/>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Body Text First Indent 2"/>
    <w:basedOn w:val="7"/>
    <w:unhideWhenUsed/>
    <w:qFormat/>
    <w:uiPriority w:val="99"/>
    <w:pPr>
      <w:ind w:firstLine="420" w:firstLineChars="200"/>
    </w:pPr>
  </w:style>
  <w:style w:type="character" w:styleId="15">
    <w:name w:val="Strong"/>
    <w:basedOn w:val="14"/>
    <w:qFormat/>
    <w:uiPriority w:val="99"/>
    <w:rPr>
      <w:b/>
    </w:rPr>
  </w:style>
  <w:style w:type="paragraph" w:customStyle="1" w:styleId="16">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17">
    <w:name w:val="标题 1 Char"/>
    <w:basedOn w:val="14"/>
    <w:link w:val="2"/>
    <w:qFormat/>
    <w:uiPriority w:val="9"/>
    <w:rPr>
      <w:b/>
      <w:bCs/>
      <w:kern w:val="44"/>
      <w:sz w:val="44"/>
      <w:szCs w:val="44"/>
    </w:rPr>
  </w:style>
  <w:style w:type="character" w:customStyle="1" w:styleId="18">
    <w:name w:val="标题 2 Char"/>
    <w:basedOn w:val="14"/>
    <w:link w:val="3"/>
    <w:qFormat/>
    <w:uiPriority w:val="9"/>
    <w:rPr>
      <w:rFonts w:asciiTheme="majorHAnsi" w:hAnsiTheme="majorHAnsi" w:eastAsiaTheme="majorEastAsia" w:cstheme="majorBidi"/>
      <w:b/>
      <w:bCs/>
      <w:sz w:val="32"/>
      <w:szCs w:val="32"/>
    </w:rPr>
  </w:style>
  <w:style w:type="paragraph" w:styleId="19">
    <w:name w:val="List Paragraph"/>
    <w:basedOn w:val="1"/>
    <w:qFormat/>
    <w:uiPriority w:val="34"/>
    <w:pPr>
      <w:ind w:firstLine="420" w:firstLineChars="200"/>
    </w:pPr>
  </w:style>
  <w:style w:type="paragraph" w:customStyle="1" w:styleId="20">
    <w:name w:val="Default"/>
    <w:next w:val="21"/>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1">
    <w:name w:val="toc 21"/>
    <w:next w:val="1"/>
    <w:qFormat/>
    <w:uiPriority w:val="0"/>
    <w:pPr>
      <w:wordWrap w:val="0"/>
      <w:ind w:left="425"/>
      <w:jc w:val="both"/>
    </w:pPr>
    <w:rPr>
      <w:rFonts w:ascii="Times New Roman" w:hAnsi="Times New Roman" w:eastAsia="宋体" w:cs="Times New Roman"/>
      <w:sz w:val="21"/>
      <w:lang w:val="en-US" w:eastAsia="zh-CN" w:bidi="ar-SA"/>
    </w:rPr>
  </w:style>
  <w:style w:type="paragraph" w:customStyle="1" w:styleId="22">
    <w:name w:val="图表目录1"/>
    <w:basedOn w:val="1"/>
    <w:next w:val="1"/>
    <w:qFormat/>
    <w:uiPriority w:val="99"/>
    <w:pPr>
      <w:ind w:left="200" w:leftChars="200" w:hanging="200" w:hangingChars="200"/>
    </w:pPr>
  </w:style>
  <w:style w:type="paragraph" w:customStyle="1" w:styleId="23">
    <w:name w:val="四号正文"/>
    <w:basedOn w:val="1"/>
    <w:qFormat/>
    <w:uiPriority w:val="0"/>
    <w:pPr>
      <w:spacing w:line="360" w:lineRule="auto"/>
    </w:pPr>
    <w:rPr>
      <w:rFonts w:ascii="??" w:hAnsi="??" w:eastAsia="宋体"/>
      <w:color w:val="000000"/>
      <w:kern w:val="0"/>
      <w:sz w:val="28"/>
      <w:szCs w:val="21"/>
      <w:lang w:val="zh-CN" w:eastAsia="zh-CN"/>
    </w:rPr>
  </w:style>
  <w:style w:type="paragraph" w:customStyle="1" w:styleId="24">
    <w:name w:val="文档正文"/>
    <w:basedOn w:val="1"/>
    <w:qFormat/>
    <w:uiPriority w:val="0"/>
    <w:pPr>
      <w:adjustRightInd w:val="0"/>
      <w:spacing w:line="480" w:lineRule="atLeast"/>
      <w:textAlignment w:val="baseline"/>
    </w:pPr>
    <w:rPr>
      <w:rFonts w:ascii="Arial" w:hAnsi="Arial"/>
      <w:kern w:val="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5" Type="http://schemas.openxmlformats.org/officeDocument/2006/relationships/fontTable" Target="fontTable.xml"/><Relationship Id="rId84" Type="http://schemas.openxmlformats.org/officeDocument/2006/relationships/numbering" Target="numbering.xml"/><Relationship Id="rId83" Type="http://schemas.openxmlformats.org/officeDocument/2006/relationships/customXml" Target="../customXml/item1.xml"/><Relationship Id="rId82" Type="http://schemas.openxmlformats.org/officeDocument/2006/relationships/image" Target="media/image30.emf"/><Relationship Id="rId81" Type="http://schemas.openxmlformats.org/officeDocument/2006/relationships/oleObject" Target="embeddings/oleObject30.bin"/><Relationship Id="rId80" Type="http://schemas.openxmlformats.org/officeDocument/2006/relationships/image" Target="media/image29.emf"/><Relationship Id="rId8" Type="http://schemas.openxmlformats.org/officeDocument/2006/relationships/footer" Target="footer4.xml"/><Relationship Id="rId79" Type="http://schemas.openxmlformats.org/officeDocument/2006/relationships/oleObject" Target="embeddings/oleObject29.bin"/><Relationship Id="rId78" Type="http://schemas.openxmlformats.org/officeDocument/2006/relationships/image" Target="media/image28.emf"/><Relationship Id="rId77" Type="http://schemas.openxmlformats.org/officeDocument/2006/relationships/oleObject" Target="embeddings/oleObject28.bin"/><Relationship Id="rId76" Type="http://schemas.openxmlformats.org/officeDocument/2006/relationships/image" Target="media/image27.emf"/><Relationship Id="rId75" Type="http://schemas.openxmlformats.org/officeDocument/2006/relationships/oleObject" Target="embeddings/oleObject27.bin"/><Relationship Id="rId74" Type="http://schemas.openxmlformats.org/officeDocument/2006/relationships/image" Target="media/image26.emf"/><Relationship Id="rId73" Type="http://schemas.openxmlformats.org/officeDocument/2006/relationships/oleObject" Target="embeddings/oleObject26.bin"/><Relationship Id="rId72" Type="http://schemas.openxmlformats.org/officeDocument/2006/relationships/image" Target="media/image25.emf"/><Relationship Id="rId71" Type="http://schemas.openxmlformats.org/officeDocument/2006/relationships/oleObject" Target="embeddings/oleObject25.bin"/><Relationship Id="rId70" Type="http://schemas.openxmlformats.org/officeDocument/2006/relationships/image" Target="media/image24.emf"/><Relationship Id="rId7" Type="http://schemas.openxmlformats.org/officeDocument/2006/relationships/footer" Target="footer3.xml"/><Relationship Id="rId69" Type="http://schemas.openxmlformats.org/officeDocument/2006/relationships/oleObject" Target="embeddings/oleObject24.bin"/><Relationship Id="rId68" Type="http://schemas.openxmlformats.org/officeDocument/2006/relationships/image" Target="media/image23.emf"/><Relationship Id="rId67" Type="http://schemas.openxmlformats.org/officeDocument/2006/relationships/oleObject" Target="embeddings/oleObject23.bin"/><Relationship Id="rId66" Type="http://schemas.openxmlformats.org/officeDocument/2006/relationships/image" Target="media/image22.emf"/><Relationship Id="rId65" Type="http://schemas.openxmlformats.org/officeDocument/2006/relationships/oleObject" Target="embeddings/oleObject22.bin"/><Relationship Id="rId64" Type="http://schemas.openxmlformats.org/officeDocument/2006/relationships/image" Target="media/image21.emf"/><Relationship Id="rId63" Type="http://schemas.openxmlformats.org/officeDocument/2006/relationships/oleObject" Target="embeddings/oleObject21.bin"/><Relationship Id="rId62" Type="http://schemas.openxmlformats.org/officeDocument/2006/relationships/image" Target="media/image20.emf"/><Relationship Id="rId61" Type="http://schemas.openxmlformats.org/officeDocument/2006/relationships/oleObject" Target="embeddings/oleObject20.bin"/><Relationship Id="rId60" Type="http://schemas.openxmlformats.org/officeDocument/2006/relationships/image" Target="media/image19.emf"/><Relationship Id="rId6" Type="http://schemas.openxmlformats.org/officeDocument/2006/relationships/footer" Target="footer2.xml"/><Relationship Id="rId59" Type="http://schemas.openxmlformats.org/officeDocument/2006/relationships/oleObject" Target="embeddings/oleObject19.bin"/><Relationship Id="rId58" Type="http://schemas.openxmlformats.org/officeDocument/2006/relationships/image" Target="media/image18.emf"/><Relationship Id="rId57" Type="http://schemas.openxmlformats.org/officeDocument/2006/relationships/oleObject" Target="embeddings/oleObject18.bin"/><Relationship Id="rId56" Type="http://schemas.openxmlformats.org/officeDocument/2006/relationships/image" Target="media/image17.emf"/><Relationship Id="rId55" Type="http://schemas.openxmlformats.org/officeDocument/2006/relationships/oleObject" Target="embeddings/oleObject17.bin"/><Relationship Id="rId54" Type="http://schemas.openxmlformats.org/officeDocument/2006/relationships/image" Target="media/image16.emf"/><Relationship Id="rId53" Type="http://schemas.openxmlformats.org/officeDocument/2006/relationships/oleObject" Target="embeddings/oleObject16.bin"/><Relationship Id="rId52" Type="http://schemas.openxmlformats.org/officeDocument/2006/relationships/image" Target="media/image15.emf"/><Relationship Id="rId51" Type="http://schemas.openxmlformats.org/officeDocument/2006/relationships/oleObject" Target="embeddings/oleObject15.bin"/><Relationship Id="rId50" Type="http://schemas.openxmlformats.org/officeDocument/2006/relationships/image" Target="media/image14.emf"/><Relationship Id="rId5" Type="http://schemas.openxmlformats.org/officeDocument/2006/relationships/footer" Target="footer1.xml"/><Relationship Id="rId49" Type="http://schemas.openxmlformats.org/officeDocument/2006/relationships/oleObject" Target="embeddings/oleObject14.bin"/><Relationship Id="rId48" Type="http://schemas.openxmlformats.org/officeDocument/2006/relationships/image" Target="media/image13.emf"/><Relationship Id="rId47" Type="http://schemas.openxmlformats.org/officeDocument/2006/relationships/oleObject" Target="embeddings/oleObject13.bin"/><Relationship Id="rId46" Type="http://schemas.openxmlformats.org/officeDocument/2006/relationships/image" Target="media/image12.emf"/><Relationship Id="rId45" Type="http://schemas.openxmlformats.org/officeDocument/2006/relationships/oleObject" Target="embeddings/oleObject12.bin"/><Relationship Id="rId44" Type="http://schemas.openxmlformats.org/officeDocument/2006/relationships/image" Target="media/image11.emf"/><Relationship Id="rId43" Type="http://schemas.openxmlformats.org/officeDocument/2006/relationships/oleObject" Target="embeddings/oleObject11.bin"/><Relationship Id="rId42" Type="http://schemas.openxmlformats.org/officeDocument/2006/relationships/image" Target="media/image10.emf"/><Relationship Id="rId41" Type="http://schemas.openxmlformats.org/officeDocument/2006/relationships/oleObject" Target="embeddings/oleObject10.bin"/><Relationship Id="rId40" Type="http://schemas.openxmlformats.org/officeDocument/2006/relationships/image" Target="media/image9.emf"/><Relationship Id="rId4" Type="http://schemas.openxmlformats.org/officeDocument/2006/relationships/header" Target="header2.xml"/><Relationship Id="rId39" Type="http://schemas.openxmlformats.org/officeDocument/2006/relationships/oleObject" Target="embeddings/oleObject9.bin"/><Relationship Id="rId38" Type="http://schemas.openxmlformats.org/officeDocument/2006/relationships/image" Target="media/image8.emf"/><Relationship Id="rId37" Type="http://schemas.openxmlformats.org/officeDocument/2006/relationships/oleObject" Target="embeddings/oleObject8.bin"/><Relationship Id="rId36" Type="http://schemas.openxmlformats.org/officeDocument/2006/relationships/image" Target="media/image7.emf"/><Relationship Id="rId35" Type="http://schemas.openxmlformats.org/officeDocument/2006/relationships/oleObject" Target="embeddings/oleObject7.bin"/><Relationship Id="rId34" Type="http://schemas.openxmlformats.org/officeDocument/2006/relationships/image" Target="media/image6.emf"/><Relationship Id="rId33" Type="http://schemas.openxmlformats.org/officeDocument/2006/relationships/oleObject" Target="embeddings/oleObject6.bin"/><Relationship Id="rId32" Type="http://schemas.openxmlformats.org/officeDocument/2006/relationships/image" Target="media/image5.emf"/><Relationship Id="rId31" Type="http://schemas.openxmlformats.org/officeDocument/2006/relationships/oleObject" Target="embeddings/oleObject5.bin"/><Relationship Id="rId30" Type="http://schemas.openxmlformats.org/officeDocument/2006/relationships/image" Target="media/image4.emf"/><Relationship Id="rId3" Type="http://schemas.openxmlformats.org/officeDocument/2006/relationships/header" Target="header1.xml"/><Relationship Id="rId29" Type="http://schemas.openxmlformats.org/officeDocument/2006/relationships/oleObject" Target="embeddings/oleObject4.bin"/><Relationship Id="rId28" Type="http://schemas.openxmlformats.org/officeDocument/2006/relationships/image" Target="media/image3.emf"/><Relationship Id="rId27" Type="http://schemas.openxmlformats.org/officeDocument/2006/relationships/oleObject" Target="embeddings/oleObject3.bin"/><Relationship Id="rId26" Type="http://schemas.openxmlformats.org/officeDocument/2006/relationships/image" Target="media/image2.emf"/><Relationship Id="rId25" Type="http://schemas.openxmlformats.org/officeDocument/2006/relationships/oleObject" Target="embeddings/oleObject2.bin"/><Relationship Id="rId24" Type="http://schemas.openxmlformats.org/officeDocument/2006/relationships/image" Target="media/image1.emf"/><Relationship Id="rId23" Type="http://schemas.openxmlformats.org/officeDocument/2006/relationships/oleObject" Target="embeddings/oleObject1.bin"/><Relationship Id="rId22" Type="http://schemas.openxmlformats.org/officeDocument/2006/relationships/chart" Target="charts/chart7.xml"/><Relationship Id="rId21" Type="http://schemas.openxmlformats.org/officeDocument/2006/relationships/chart" Target="charts/chart6.xml"/><Relationship Id="rId20" Type="http://schemas.openxmlformats.org/officeDocument/2006/relationships/chart" Target="charts/chart5.xml"/><Relationship Id="rId2" Type="http://schemas.openxmlformats.org/officeDocument/2006/relationships/settings" Target="settings.xml"/><Relationship Id="rId19" Type="http://schemas.openxmlformats.org/officeDocument/2006/relationships/chart" Target="charts/chart4.xml"/><Relationship Id="rId18" Type="http://schemas.openxmlformats.org/officeDocument/2006/relationships/chart" Target="charts/chart3.xml"/><Relationship Id="rId17" Type="http://schemas.openxmlformats.org/officeDocument/2006/relationships/chart" Target="charts/chart2.xml"/><Relationship Id="rId16" Type="http://schemas.openxmlformats.org/officeDocument/2006/relationships/chart" Target="charts/chart1.xml"/><Relationship Id="rId15" Type="http://schemas.openxmlformats.org/officeDocument/2006/relationships/theme" Target="theme/theme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istrator\Desktop\&#26032;&#24314;%20XLS%20&#24037;&#20316;&#34920;.xls" TargetMode="External"/></Relationships>
</file>

<file path=word/charts/_rels/chart2.xml.rels><?xml version="1.0" encoding="UTF-8" standalone="yes"?>
<Relationships xmlns="http://schemas.openxmlformats.org/package/2006/relationships"><Relationship Id="rId4" Type="http://schemas.microsoft.com/office/2011/relationships/chartColorStyle" Target="colors5.xml"/><Relationship Id="rId3" Type="http://schemas.microsoft.com/office/2011/relationships/chartStyle" Target="style5.xml"/><Relationship Id="rId2" Type="http://schemas.openxmlformats.org/officeDocument/2006/relationships/themeOverride" Target="../theme/themeOverride4.xml"/><Relationship Id="rId1" Type="http://schemas.openxmlformats.org/officeDocument/2006/relationships/oleObject" Target="file:///C:\Users\Administrator\Desktop\&#26032;&#24314;%20XLS%20&#24037;&#20316;&#34920;.xls" TargetMode="External"/></Relationships>
</file>

<file path=word/charts/_rels/chart3.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themeOverride" Target="../theme/themeOverride3.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oleObject" Target="&#24037;&#20316;&#31807;1" TargetMode="External"/></Relationships>
</file>

<file path=word/charts/_rels/chart7.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themeOverride" Target="../theme/themeOverride2.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图1：收入、支出决算总计变动情况图（万元）</a:t>
            </a:r>
          </a:p>
          <a:p>
            <a:pPr defTabSz="914400">
              <a:defRPr lang="zh-CN" sz="1400" b="1" i="0" u="none" strike="noStrike" kern="1200" baseline="0">
                <a:solidFill>
                  <a:schemeClr val="tx1">
                    <a:lumMod val="75000"/>
                    <a:lumOff val="25000"/>
                  </a:schemeClr>
                </a:solidFill>
                <a:latin typeface="+mn-lt"/>
                <a:ea typeface="+mn-ea"/>
                <a:cs typeface="+mn-cs"/>
              </a:defRPr>
            </a:pP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工作表.xls]Sheet1'!$G$8:$G$9</c:f>
              <c:strCache>
                <c:ptCount val="2"/>
                <c:pt idx="0">
                  <c:v>2023年</c:v>
                </c:pt>
                <c:pt idx="1">
                  <c:v>2024年</c:v>
                </c:pt>
              </c:strCache>
            </c:strRef>
          </c:cat>
          <c:val>
            <c:numRef>
              <c:f>'[新建 XLS 工作表.xls]Sheet1'!$H$8:$H$9</c:f>
              <c:numCache>
                <c:formatCode>General</c:formatCode>
                <c:ptCount val="2"/>
                <c:pt idx="0">
                  <c:v>3735.21</c:v>
                </c:pt>
                <c:pt idx="1">
                  <c:v>4128.99</c:v>
                </c:pt>
              </c:numCache>
            </c:numRef>
          </c:val>
        </c:ser>
        <c:dLbls>
          <c:showLegendKey val="0"/>
          <c:showVal val="1"/>
          <c:showCatName val="0"/>
          <c:showSerName val="0"/>
          <c:showPercent val="0"/>
          <c:showBubbleSize val="0"/>
        </c:dLbls>
        <c:gapWidth val="246"/>
        <c:overlap val="-28"/>
        <c:axId val="350813814"/>
        <c:axId val="357934994"/>
      </c:barChart>
      <c:catAx>
        <c:axId val="35081381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57934994"/>
        <c:crosses val="autoZero"/>
        <c:auto val="1"/>
        <c:lblAlgn val="ctr"/>
        <c:lblOffset val="100"/>
        <c:noMultiLvlLbl val="0"/>
      </c:catAx>
      <c:valAx>
        <c:axId val="35793499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50813814"/>
        <c:crosses val="autoZero"/>
        <c:crossBetween val="between"/>
      </c:valAx>
      <c:spPr>
        <a:noFill/>
        <a:ln>
          <a:noFill/>
        </a:ln>
        <a:effectLst/>
      </c:spPr>
    </c:plotArea>
    <c:plotVisOnly val="1"/>
    <c:dispBlanksAs val="gap"/>
    <c:showDLblsOverMax val="0"/>
    <c:extLst>
      <c:ext uri="{0b15fc19-7d7d-44ad-8c2d-2c3a37ce22c3}">
        <chartProps xmlns="https://web.wps.cn/et/2018/main" chartId="{59164512-1da2-4326-b702-0da86236e168}"/>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图2：收入决算结构图</a:t>
            </a:r>
          </a:p>
        </c:rich>
      </c:tx>
      <c:layout>
        <c:manualLayout>
          <c:xMode val="edge"/>
          <c:yMode val="edge"/>
          <c:x val="0.297314241486068"/>
          <c:y val="0.00854457419538593"/>
        </c:manualLayout>
      </c:layout>
      <c:overlay val="0"/>
      <c:spPr>
        <a:noFill/>
        <a:ln>
          <a:noFill/>
        </a:ln>
        <a:effectLst/>
      </c:spPr>
    </c:title>
    <c:autoTitleDeleted val="0"/>
    <c:plotArea>
      <c:layout/>
      <c:pieChart>
        <c:varyColors val="1"/>
        <c:ser>
          <c:idx val="1"/>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dLbl>
              <c:idx val="0"/>
              <c:layout>
                <c:manualLayout>
                  <c:x val="0.0126263182137847"/>
                  <c:y val="-0.280025748137866"/>
                </c:manualLayout>
              </c:layout>
              <c:tx>
                <c:rich>
                  <a:bodyPr rot="0" spcFirstLastPara="0" vertOverflow="ellipsis" vert="horz" wrap="square" lIns="38100" tIns="19050" rIns="38100" bIns="19050" anchor="ctr" anchorCtr="1" forceAA="0"/>
                  <a:lstStyle/>
                  <a:p>
                    <a:pPr defTabSz="914400">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4039.95万元，</a:t>
                    </a:r>
                    <a:r>
                      <a:rPr lang="en-US" altLang="zh-CN"/>
                      <a:t>97.85%</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manualLayout>
                      <c:w val="0.305727554179567"/>
                      <c:h val="0.22244374821988"/>
                    </c:manualLayout>
                  </c15:layout>
                </c:ext>
              </c:extLst>
            </c:dLbl>
            <c:dLbl>
              <c:idx val="1"/>
              <c:layout>
                <c:manualLayout>
                  <c:x val="0.137210944169117"/>
                  <c:y val="0.0629631370696021"/>
                </c:manualLayout>
              </c:layout>
              <c:tx>
                <c:rich>
                  <a:bodyPr rot="0" spcFirstLastPara="0" vertOverflow="ellipsis" vert="horz" wrap="square" lIns="38100" tIns="19050" rIns="38100" bIns="19050" anchor="ctr" anchorCtr="1" forceAA="0"/>
                  <a:lstStyle/>
                  <a:p>
                    <a:pPr defTabSz="914400">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89.04万元，</a:t>
                    </a:r>
                    <a:r>
                      <a:rPr lang="en-US" altLang="zh-CN"/>
                      <a:t>2.15%</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manualLayout>
                      <c:w val="0.319736842105263"/>
                      <c:h val="0.131481481481481"/>
                    </c:manualLayout>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工作表.xls]Sheet1'!$E$11:$E$12</c:f>
              <c:strCache>
                <c:ptCount val="2"/>
                <c:pt idx="0">
                  <c:v>一般公共预算财政拨款收入</c:v>
                </c:pt>
                <c:pt idx="1">
                  <c:v>其他收入</c:v>
                </c:pt>
              </c:strCache>
            </c:strRef>
          </c:cat>
          <c:val>
            <c:numRef>
              <c:f>'[新建 XLS 工作表.xls]Sheet1'!$F$11:$F$12</c:f>
              <c:numCache>
                <c:formatCode>General</c:formatCode>
                <c:ptCount val="2"/>
                <c:pt idx="0">
                  <c:v>4039.95</c:v>
                </c:pt>
                <c:pt idx="1">
                  <c:v>89.04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431e30c8-d454-4fc2-984b-a7fb03f446a6}"/>
      </c:ext>
    </c:extLst>
  </c:chart>
  <c:spPr>
    <a:solidFill>
      <a:schemeClr val="bg1"/>
    </a:solidFill>
    <a:ln w="9525" cap="flat" cmpd="sng" algn="ctr">
      <a:solidFill>
        <a:schemeClr val="tx1">
          <a:lumMod val="50000"/>
          <a:lumOff val="50000"/>
          <a:alpha val="25000"/>
        </a:schemeClr>
      </a:solidFill>
      <a:round/>
    </a:ln>
    <a:effectLst/>
  </c:spPr>
  <c:txPr>
    <a:bodyPr/>
    <a:lstStyle/>
    <a:p>
      <a:pPr>
        <a:defRPr lang="zh-CN">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图3：支出决算结构图</a:t>
            </a:r>
          </a:p>
        </c:rich>
      </c:tx>
      <c:layout/>
      <c:overlay val="0"/>
      <c:spPr>
        <a:noFill/>
        <a:ln>
          <a:noFill/>
        </a:ln>
        <a:effectLst/>
      </c:spPr>
    </c:title>
    <c:autoTitleDeleted val="0"/>
    <c:plotArea>
      <c:layout/>
      <c:pieChart>
        <c:varyColors val="1"/>
        <c:ser>
          <c:idx val="1"/>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dLbl>
              <c:idx val="0"/>
              <c:layout>
                <c:manualLayout>
                  <c:x val="-0.111094722477326"/>
                  <c:y val="-0.11774853241774"/>
                </c:manualLayout>
              </c:layout>
              <c:tx>
                <c:rich>
                  <a:bodyPr rot="0" spcFirstLastPara="0" vertOverflow="ellipsis" vert="horz" wrap="square" lIns="38100" tIns="19050" rIns="38100" bIns="19050" anchor="ctr" anchorCtr="1" forceAA="0"/>
                  <a:lstStyle/>
                  <a:p>
                    <a:pPr defTabSz="914400">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2829.78</a:t>
                    </a:r>
                    <a:r>
                      <a:rPr altLang="en-US"/>
                      <a:t>万元，</a:t>
                    </a:r>
                    <a:r>
                      <a:rPr lang="en-US" altLang="zh-CN"/>
                      <a:t>69.82%</a:t>
                    </a:r>
                    <a:endParaRPr lang="en-US" altLang="zh-CN"/>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0875266529852429"/>
                  <c:y val="0.102878651905664"/>
                </c:manualLayout>
              </c:layout>
              <c:tx>
                <c:rich>
                  <a:bodyPr rot="0" spcFirstLastPara="0" vertOverflow="ellipsis" vert="horz" wrap="square" lIns="38100" tIns="19050" rIns="38100" bIns="19050" anchor="ctr" anchorCtr="1" forceAA="0"/>
                  <a:lstStyle/>
                  <a:p>
                    <a:pPr defTabSz="914400">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1223.47</a:t>
                    </a:r>
                    <a:r>
                      <a:rPr altLang="en-US"/>
                      <a:t>万元，</a:t>
                    </a:r>
                    <a:r>
                      <a:rPr lang="en-US" altLang="zh-CN"/>
                      <a:t>30.18%</a:t>
                    </a:r>
                    <a:endParaRPr lang="en-US" altLang="zh-CN"/>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[工作簿1]Sheet1!$D$3:$D$4</c:f>
              <c:strCache>
                <c:ptCount val="2"/>
                <c:pt idx="0">
                  <c:v>基本支出</c:v>
                </c:pt>
                <c:pt idx="1">
                  <c:v>项目支出</c:v>
                </c:pt>
              </c:strCache>
            </c:strRef>
          </c:cat>
          <c:val>
            <c:numRef>
              <c:f>[工作簿1]Sheet1!$E$3:$E$4</c:f>
              <c:numCache>
                <c:formatCode>General</c:formatCode>
                <c:ptCount val="2"/>
                <c:pt idx="0">
                  <c:v>2829.78</c:v>
                </c:pt>
                <c:pt idx="1">
                  <c:v>1223.47</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9522ea51-5f25-4280-93c9-282f748a0683}"/>
      </c:ext>
    </c:extLst>
  </c:chart>
  <c:spPr>
    <a:solidFill>
      <a:schemeClr val="bg1"/>
    </a:solidFill>
    <a:ln w="9525" cap="flat" cmpd="sng" algn="ctr">
      <a:solidFill>
        <a:schemeClr val="tx1">
          <a:lumMod val="50000"/>
          <a:lumOff val="50000"/>
          <a:alpha val="25000"/>
        </a:schemeClr>
      </a:solidFill>
      <a:round/>
    </a:ln>
    <a:effectLst/>
  </c:spPr>
  <c:txPr>
    <a:bodyPr/>
    <a:lstStyle/>
    <a:p>
      <a:pPr>
        <a:defRPr lang="zh-CN">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图4：财政拨款收、支决算总计变动情况</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Lbl>
              <c:idx val="0"/>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3735.21万元</a:t>
                    </a:r>
                  </a:p>
                </c:rich>
              </c:tx>
              <c:dLblPos val="outEnd"/>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4039.95万元</a:t>
                    </a:r>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[工作簿1]Sheet1!$D$3:$D$4</c:f>
              <c:strCache>
                <c:ptCount val="2"/>
                <c:pt idx="0">
                  <c:v>2023年</c:v>
                </c:pt>
                <c:pt idx="1">
                  <c:v>2024年</c:v>
                </c:pt>
              </c:strCache>
            </c:strRef>
          </c:cat>
          <c:val>
            <c:numRef>
              <c:f>[工作簿1]Sheet1!$E$3:$E$4</c:f>
              <c:numCache>
                <c:formatCode>General</c:formatCode>
                <c:ptCount val="2"/>
                <c:pt idx="0">
                  <c:v>3735.21</c:v>
                </c:pt>
                <c:pt idx="1">
                  <c:v>4039.95</c:v>
                </c:pt>
              </c:numCache>
            </c:numRef>
          </c:val>
        </c:ser>
        <c:dLbls>
          <c:showLegendKey val="0"/>
          <c:showVal val="1"/>
          <c:showCatName val="0"/>
          <c:showSerName val="0"/>
          <c:showPercent val="0"/>
          <c:showBubbleSize val="0"/>
        </c:dLbls>
        <c:gapWidth val="246"/>
        <c:overlap val="-28"/>
        <c:axId val="423984154"/>
        <c:axId val="696654479"/>
      </c:barChart>
      <c:catAx>
        <c:axId val="42398415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6654479"/>
        <c:crosses val="autoZero"/>
        <c:auto val="1"/>
        <c:lblAlgn val="ctr"/>
        <c:lblOffset val="100"/>
        <c:noMultiLvlLbl val="0"/>
      </c:catAx>
      <c:valAx>
        <c:axId val="696654479"/>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23984154"/>
        <c:crosses val="autoZero"/>
        <c:crossBetween val="between"/>
      </c:valAx>
      <c:spPr>
        <a:noFill/>
        <a:ln>
          <a:noFill/>
        </a:ln>
        <a:effectLst/>
      </c:spPr>
    </c:plotArea>
    <c:plotVisOnly val="1"/>
    <c:dispBlanksAs val="gap"/>
    <c:showDLblsOverMax val="0"/>
    <c:extLst>
      <c:ext uri="{0b15fc19-7d7d-44ad-8c2d-2c3a37ce22c3}">
        <chartProps xmlns="https://web.wps.cn/et/2018/main" chartId="{cfde323d-0756-45a8-be1d-113a554f889b}"/>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a:t>
            </a:r>
            <a:r>
              <a:rPr lang="en-US" altLang="zh-CN"/>
              <a:t>5</a:t>
            </a:r>
            <a:r>
              <a:rPr altLang="en-US"/>
              <a:t>：</a:t>
            </a:r>
            <a:r>
              <a:t>一般公共预算财政拨款支出决算变动情况</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Lbl>
              <c:idx val="0"/>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3735.21万元</a:t>
                    </a:r>
                  </a:p>
                </c:rich>
              </c:tx>
              <c:dLblPos val="outEnd"/>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4039.95万元</a:t>
                    </a:r>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[工作簿1]Sheet1!$D$3:$D$4</c:f>
              <c:strCache>
                <c:ptCount val="2"/>
                <c:pt idx="0">
                  <c:v>2023年</c:v>
                </c:pt>
                <c:pt idx="1">
                  <c:v>2024年</c:v>
                </c:pt>
              </c:strCache>
            </c:strRef>
          </c:cat>
          <c:val>
            <c:numRef>
              <c:f>[工作簿1]Sheet1!$E$3:$E$4</c:f>
              <c:numCache>
                <c:formatCode>General</c:formatCode>
                <c:ptCount val="2"/>
                <c:pt idx="0">
                  <c:v>3735.21</c:v>
                </c:pt>
                <c:pt idx="1">
                  <c:v>4039.95</c:v>
                </c:pt>
              </c:numCache>
            </c:numRef>
          </c:val>
        </c:ser>
        <c:dLbls>
          <c:showLegendKey val="0"/>
          <c:showVal val="1"/>
          <c:showCatName val="0"/>
          <c:showSerName val="0"/>
          <c:showPercent val="0"/>
          <c:showBubbleSize val="0"/>
        </c:dLbls>
        <c:gapWidth val="246"/>
        <c:overlap val="-28"/>
        <c:axId val="446745173"/>
        <c:axId val="477977920"/>
      </c:barChart>
      <c:catAx>
        <c:axId val="44674517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77977920"/>
        <c:crosses val="autoZero"/>
        <c:auto val="1"/>
        <c:lblAlgn val="ctr"/>
        <c:lblOffset val="100"/>
        <c:noMultiLvlLbl val="0"/>
      </c:catAx>
      <c:valAx>
        <c:axId val="477977920"/>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46745173"/>
        <c:crosses val="autoZero"/>
        <c:crossBetween val="between"/>
      </c:valAx>
      <c:spPr>
        <a:noFill/>
        <a:ln>
          <a:noFill/>
        </a:ln>
        <a:effectLst/>
      </c:spPr>
    </c:plotArea>
    <c:plotVisOnly val="1"/>
    <c:dispBlanksAs val="gap"/>
    <c:showDLblsOverMax val="0"/>
    <c:extLst>
      <c:ext uri="{0b15fc19-7d7d-44ad-8c2d-2c3a37ce22c3}">
        <chartProps xmlns="https://web.wps.cn/et/2018/main" chartId="{3da406fa-a1c4-4442-bd16-4d4c0d4ef76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图6：一般公共预算财政拨款支出决算结构</a:t>
            </a:r>
          </a:p>
        </c:rich>
      </c:tx>
      <c:layout>
        <c:manualLayout>
          <c:xMode val="edge"/>
          <c:yMode val="edge"/>
          <c:x val="0.152236842105263"/>
          <c:y val="0.0243055555555556"/>
        </c:manualLayout>
      </c:layout>
      <c:overlay val="0"/>
      <c:spPr>
        <a:noFill/>
        <a:ln>
          <a:noFill/>
        </a:ln>
        <a:effectLst/>
      </c:spPr>
    </c:title>
    <c:autoTitleDeleted val="0"/>
    <c:plotArea>
      <c:layout/>
      <c:pieChart>
        <c:varyColors val="1"/>
        <c:ser>
          <c:idx val="1"/>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dLbl>
              <c:idx val="0"/>
              <c:layout>
                <c:manualLayout>
                  <c:x val="0.142105263157895"/>
                  <c:y val="0.0138888888888889"/>
                </c:manualLayout>
              </c:layout>
              <c:tx>
                <c:rich>
                  <a:bodyPr rot="0" spcFirstLastPara="0" vertOverflow="ellipsis" vert="horz" wrap="square" lIns="38100" tIns="19050" rIns="38100" bIns="19050" anchor="ctr" anchorCtr="1" forceAA="0"/>
                  <a:lstStyle/>
                  <a:p>
                    <a:pPr defTabSz="914400">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1.24%</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manualLayout>
                      <c:w val="0.122943386449022"/>
                      <c:h val="0.0828386400431732"/>
                    </c:manualLayout>
                  </c15:layout>
                </c:ext>
              </c:extLst>
            </c:dLbl>
            <c:dLbl>
              <c:idx val="1"/>
              <c:layout>
                <c:manualLayout>
                  <c:x val="0.118421052631579"/>
                  <c:y val="-0.0694444444444444"/>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81.68%</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120394736842105"/>
                  <c:y val="0.15625"/>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6.60%</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120394736842105"/>
                  <c:y val="0.0625"/>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2.82%</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104605263157895"/>
                  <c:y val="0.0173611111111111"/>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3.70%</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276315789473684"/>
                  <c:y val="0"/>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3.96%</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[工作簿1]Sheet1!$E$6:$E$11</c:f>
              <c:strCache>
                <c:ptCount val="6"/>
                <c:pt idx="0">
                  <c:v>科学技术支出</c:v>
                </c:pt>
                <c:pt idx="1">
                  <c:v>文化旅游体育与传媒支出</c:v>
                </c:pt>
                <c:pt idx="2">
                  <c:v>社会保障和就业支出</c:v>
                </c:pt>
                <c:pt idx="3">
                  <c:v>卫生健康支出</c:v>
                </c:pt>
                <c:pt idx="4">
                  <c:v>节能环保支出</c:v>
                </c:pt>
                <c:pt idx="5">
                  <c:v>住房保障支出</c:v>
                </c:pt>
              </c:strCache>
            </c:strRef>
          </c:cat>
          <c:val>
            <c:numRef>
              <c:f>[工作簿1]Sheet1!$F$6:$F$11</c:f>
              <c:numCache>
                <c:formatCode>General</c:formatCode>
                <c:ptCount val="6"/>
                <c:pt idx="0">
                  <c:v>50</c:v>
                </c:pt>
                <c:pt idx="1">
                  <c:v>3299.63</c:v>
                </c:pt>
                <c:pt idx="2">
                  <c:v>266.63</c:v>
                </c:pt>
                <c:pt idx="3">
                  <c:v>113.89</c:v>
                </c:pt>
                <c:pt idx="4">
                  <c:v>149.52</c:v>
                </c:pt>
                <c:pt idx="5">
                  <c:v>160.29</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1ec04b02-23e8-4e5f-befe-60a041219533}"/>
      </c:ext>
    </c:extLst>
  </c:chart>
  <c:spPr>
    <a:solidFill>
      <a:schemeClr val="bg1"/>
    </a:solidFill>
    <a:ln w="9525" cap="flat" cmpd="sng" algn="ctr">
      <a:solidFill>
        <a:schemeClr val="tx1">
          <a:lumMod val="50000"/>
          <a:lumOff val="50000"/>
          <a:alpha val="25000"/>
        </a:schemeClr>
      </a:solidFill>
      <a:round/>
    </a:ln>
    <a:effectLst/>
  </c:spPr>
  <c:txPr>
    <a:bodyPr/>
    <a:lstStyle/>
    <a:p>
      <a:pPr>
        <a:defRPr lang="zh-CN">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图7：“三公”经费财政拨款支出结构</a:t>
            </a:r>
          </a:p>
        </c:rich>
      </c:tx>
      <c:layout/>
      <c:overlay val="0"/>
      <c:spPr>
        <a:noFill/>
        <a:ln>
          <a:noFill/>
        </a:ln>
        <a:effectLst/>
      </c:spPr>
    </c:title>
    <c:autoTitleDeleted val="0"/>
    <c:plotArea>
      <c:layout/>
      <c:pieChart>
        <c:varyColors val="1"/>
        <c:ser>
          <c:idx val="1"/>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dLbl>
              <c:idx val="0"/>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118.99</a:t>
                    </a:r>
                    <a:endParaRPr lang="en-US" altLang="zh-CN"/>
                  </a:p>
                </c:rich>
              </c:tx>
              <c:dLblPos val="inEnd"/>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32.96</a:t>
                    </a:r>
                    <a:endParaRPr lang="en-US" altLang="zh-CN"/>
                  </a:p>
                </c:rich>
              </c:tx>
              <c:dLblPos val="in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[工作簿1]Sheet1!$E$6:$E$7</c:f>
              <c:strCache>
                <c:ptCount val="2"/>
                <c:pt idx="0">
                  <c:v>公务用车购置及运行维护费支出</c:v>
                </c:pt>
                <c:pt idx="1">
                  <c:v>公务接待费</c:v>
                </c:pt>
              </c:strCache>
            </c:strRef>
          </c:cat>
          <c:val>
            <c:numRef>
              <c:f>[工作簿1]Sheet1!$F$6:$F$7</c:f>
              <c:numCache>
                <c:formatCode>General</c:formatCode>
                <c:ptCount val="2"/>
                <c:pt idx="0">
                  <c:v>178.52</c:v>
                </c:pt>
                <c:pt idx="1">
                  <c:v>49.54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43df3f59-2356-4c5a-8a72-e235046ab4f0}"/>
      </c:ext>
    </c:extLst>
  </c:chart>
  <c:spPr>
    <a:solidFill>
      <a:schemeClr val="bg1"/>
    </a:solidFill>
    <a:ln w="9525" cap="flat" cmpd="sng" algn="ctr">
      <a:solidFill>
        <a:schemeClr val="tx1">
          <a:lumMod val="50000"/>
          <a:lumOff val="50000"/>
          <a:alpha val="25000"/>
        </a:schemeClr>
      </a:solidFill>
      <a:round/>
    </a:ln>
    <a:effectLst/>
  </c:spPr>
  <c:txPr>
    <a:bodyPr/>
    <a:lstStyle/>
    <a:p>
      <a:pPr>
        <a:defRPr lang="zh-CN">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91</Pages>
  <Words>9750</Words>
  <Characters>11033</Characters>
  <Lines>0</Lines>
  <Paragraphs>0</Paragraphs>
  <TotalTime>0</TotalTime>
  <ScaleCrop>false</ScaleCrop>
  <LinksUpToDate>false</LinksUpToDate>
  <CharactersWithSpaces>11059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2025-09-18T08:12:00Z</dcterms:created>
  <dc:creator>薄荷绿°</dc:creator>
  <cp:lastModifiedBy>薄荷绿°</cp:lastModifiedBy>
  <dcterms:modified xsi:type="dcterms:W3CDTF">2025-09-18T09:50:58Z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095237B5CF214EFAA7E107FC2BDFDF88_11</vt:lpwstr>
  </property>
  <property fmtid="{D5CDD505-2E9C-101B-9397-08002B2CF9AE}" pid="4" name="KSOTemplateDocerSaveRecord">
    <vt:lpwstr>eyJoZGlkIjoiM2QyOWQ4ODY3Yjc4ODM2MGIwNmJlMTczNGMwOTkyNGEiLCJ1c2VySWQiOiI0NDI3MjE3MDAifQ==</vt:lpwstr>
  </property>
</Properties>
</file>