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C700DF">
      <w:pPr>
        <w:rPr>
          <w:rFonts w:ascii="黑体" w:eastAsia="黑体"/>
          <w:color w:val="auto"/>
          <w:sz w:val="32"/>
          <w:szCs w:val="32"/>
        </w:rPr>
      </w:pPr>
      <w:r>
        <w:rPr>
          <w:rFonts w:ascii="黑体" w:eastAsia="黑体"/>
          <w:color w:val="auto"/>
          <w:sz w:val="32"/>
          <w:szCs w:val="32"/>
        </w:rPr>
        <w:t>附件</w:t>
      </w:r>
      <w:r>
        <w:rPr>
          <w:rFonts w:hint="eastAsia" w:ascii="黑体" w:eastAsia="黑体"/>
          <w:color w:val="auto"/>
          <w:sz w:val="32"/>
          <w:szCs w:val="32"/>
        </w:rPr>
        <w:t>2</w:t>
      </w:r>
    </w:p>
    <w:p w14:paraId="67A7EC3B">
      <w:pPr>
        <w:rPr>
          <w:color w:val="auto"/>
        </w:rPr>
      </w:pPr>
    </w:p>
    <w:p w14:paraId="702BFD6B">
      <w:pPr>
        <w:rPr>
          <w:color w:val="auto"/>
        </w:rPr>
      </w:pPr>
    </w:p>
    <w:p w14:paraId="1BA79A16">
      <w:pPr>
        <w:rPr>
          <w:color w:val="auto"/>
        </w:rPr>
      </w:pPr>
    </w:p>
    <w:p w14:paraId="7DDF21FD">
      <w:pPr>
        <w:ind w:firstLine="1050" w:firstLineChars="500"/>
        <w:rPr>
          <w:color w:val="auto"/>
        </w:rPr>
      </w:pPr>
    </w:p>
    <w:p w14:paraId="0F16605E">
      <w:pPr>
        <w:ind w:firstLine="1050" w:firstLineChars="500"/>
        <w:rPr>
          <w:color w:val="auto"/>
        </w:rPr>
      </w:pPr>
    </w:p>
    <w:p w14:paraId="364303B8">
      <w:pPr>
        <w:ind w:firstLine="1760" w:firstLineChars="400"/>
        <w:rPr>
          <w:rFonts w:ascii="黑体" w:eastAsia="黑体"/>
          <w:color w:val="auto"/>
          <w:sz w:val="44"/>
          <w:szCs w:val="44"/>
        </w:rPr>
      </w:pPr>
    </w:p>
    <w:p w14:paraId="6B0274C3">
      <w:pPr>
        <w:ind w:firstLine="1760" w:firstLineChars="400"/>
        <w:rPr>
          <w:rFonts w:ascii="黑体" w:eastAsia="黑体"/>
          <w:color w:val="auto"/>
          <w:sz w:val="44"/>
          <w:szCs w:val="44"/>
        </w:rPr>
      </w:pPr>
    </w:p>
    <w:p w14:paraId="390C2E23">
      <w:pPr>
        <w:jc w:val="center"/>
        <w:rPr>
          <w:rFonts w:hint="eastAsia" w:ascii="黑体" w:eastAsia="黑体"/>
          <w:color w:val="auto"/>
          <w:sz w:val="44"/>
          <w:szCs w:val="44"/>
          <w:lang w:val="en-US" w:eastAsia="zh-CN"/>
        </w:rPr>
      </w:pPr>
      <w:r>
        <w:rPr>
          <w:rFonts w:hint="eastAsia" w:ascii="黑体" w:eastAsia="黑体"/>
          <w:color w:val="auto"/>
          <w:sz w:val="44"/>
          <w:szCs w:val="44"/>
          <w:lang w:val="en-US" w:eastAsia="zh-CN"/>
        </w:rPr>
        <w:t>达古冰川风景名胜区管理局</w:t>
      </w:r>
    </w:p>
    <w:p w14:paraId="12FF8075">
      <w:pPr>
        <w:jc w:val="center"/>
        <w:rPr>
          <w:rFonts w:ascii="黑体" w:eastAsia="黑体"/>
          <w:color w:val="auto"/>
          <w:sz w:val="44"/>
          <w:szCs w:val="44"/>
        </w:rPr>
      </w:pPr>
      <w:r>
        <w:rPr>
          <w:rFonts w:ascii="黑体" w:eastAsia="黑体"/>
          <w:color w:val="auto"/>
          <w:sz w:val="44"/>
          <w:szCs w:val="44"/>
        </w:rPr>
        <w:t>2025</w:t>
      </w:r>
      <w:r>
        <w:rPr>
          <w:rFonts w:hint="eastAsia" w:ascii="黑体" w:eastAsia="黑体"/>
          <w:color w:val="auto"/>
          <w:sz w:val="44"/>
          <w:szCs w:val="44"/>
        </w:rPr>
        <w:t>年部门预算</w:t>
      </w:r>
    </w:p>
    <w:p w14:paraId="1D1FF4B2">
      <w:pPr>
        <w:ind w:firstLine="1760" w:firstLineChars="400"/>
        <w:rPr>
          <w:rFonts w:ascii="黑体" w:eastAsia="黑体"/>
          <w:color w:val="auto"/>
          <w:sz w:val="44"/>
          <w:szCs w:val="44"/>
        </w:rPr>
      </w:pPr>
    </w:p>
    <w:p w14:paraId="0A9FA861">
      <w:pPr>
        <w:ind w:firstLine="1760" w:firstLineChars="400"/>
        <w:rPr>
          <w:rFonts w:ascii="黑体" w:eastAsia="黑体"/>
          <w:color w:val="auto"/>
          <w:sz w:val="44"/>
          <w:szCs w:val="44"/>
        </w:rPr>
      </w:pPr>
    </w:p>
    <w:p w14:paraId="09B47784">
      <w:pPr>
        <w:ind w:firstLine="1760" w:firstLineChars="400"/>
        <w:rPr>
          <w:rFonts w:ascii="黑体" w:eastAsia="黑体"/>
          <w:color w:val="auto"/>
          <w:sz w:val="44"/>
          <w:szCs w:val="44"/>
        </w:rPr>
      </w:pPr>
    </w:p>
    <w:p w14:paraId="36AC6F2F">
      <w:pPr>
        <w:ind w:firstLine="1760" w:firstLineChars="400"/>
        <w:rPr>
          <w:rFonts w:ascii="黑体" w:eastAsia="黑体"/>
          <w:color w:val="auto"/>
          <w:sz w:val="44"/>
          <w:szCs w:val="44"/>
        </w:rPr>
      </w:pPr>
    </w:p>
    <w:p w14:paraId="3B69EABB">
      <w:pPr>
        <w:ind w:firstLine="1760" w:firstLineChars="400"/>
        <w:rPr>
          <w:rFonts w:ascii="黑体" w:eastAsia="黑体"/>
          <w:color w:val="auto"/>
          <w:sz w:val="44"/>
          <w:szCs w:val="44"/>
        </w:rPr>
      </w:pPr>
    </w:p>
    <w:p w14:paraId="4B9297B0">
      <w:pPr>
        <w:ind w:firstLine="1760" w:firstLineChars="400"/>
        <w:rPr>
          <w:rFonts w:ascii="黑体" w:eastAsia="黑体"/>
          <w:color w:val="auto"/>
          <w:sz w:val="44"/>
          <w:szCs w:val="44"/>
        </w:rPr>
      </w:pPr>
    </w:p>
    <w:p w14:paraId="6D686648">
      <w:pPr>
        <w:ind w:firstLine="1760" w:firstLineChars="400"/>
        <w:rPr>
          <w:rFonts w:ascii="黑体" w:eastAsia="黑体"/>
          <w:color w:val="auto"/>
          <w:sz w:val="44"/>
          <w:szCs w:val="44"/>
        </w:rPr>
      </w:pPr>
    </w:p>
    <w:p w14:paraId="28D3F837">
      <w:pPr>
        <w:ind w:firstLine="1760" w:firstLineChars="400"/>
        <w:rPr>
          <w:rFonts w:ascii="黑体" w:eastAsia="黑体"/>
          <w:color w:val="auto"/>
          <w:sz w:val="44"/>
          <w:szCs w:val="44"/>
        </w:rPr>
      </w:pPr>
    </w:p>
    <w:p w14:paraId="6626E444">
      <w:pPr>
        <w:ind w:firstLine="1760" w:firstLineChars="400"/>
        <w:rPr>
          <w:rFonts w:ascii="黑体" w:eastAsia="黑体"/>
          <w:color w:val="auto"/>
          <w:sz w:val="44"/>
          <w:szCs w:val="44"/>
        </w:rPr>
      </w:pPr>
    </w:p>
    <w:p w14:paraId="609D4677">
      <w:pPr>
        <w:ind w:firstLine="1760" w:firstLineChars="400"/>
        <w:rPr>
          <w:rFonts w:ascii="黑体" w:eastAsia="黑体"/>
          <w:color w:val="auto"/>
          <w:sz w:val="44"/>
          <w:szCs w:val="44"/>
        </w:rPr>
      </w:pPr>
    </w:p>
    <w:p w14:paraId="27EB0C74">
      <w:pPr>
        <w:ind w:firstLine="1760" w:firstLineChars="400"/>
        <w:rPr>
          <w:rFonts w:ascii="黑体" w:eastAsia="黑体"/>
          <w:color w:val="auto"/>
          <w:sz w:val="44"/>
          <w:szCs w:val="44"/>
        </w:rPr>
      </w:pPr>
    </w:p>
    <w:p w14:paraId="45449ACF">
      <w:pPr>
        <w:ind w:firstLine="1760" w:firstLineChars="400"/>
        <w:rPr>
          <w:rFonts w:ascii="黑体" w:eastAsia="黑体"/>
          <w:color w:val="auto"/>
          <w:sz w:val="44"/>
          <w:szCs w:val="44"/>
        </w:rPr>
      </w:pPr>
    </w:p>
    <w:p w14:paraId="60832960">
      <w:pPr>
        <w:ind w:firstLine="1760" w:firstLineChars="400"/>
        <w:rPr>
          <w:rFonts w:ascii="黑体" w:eastAsia="黑体"/>
          <w:color w:val="auto"/>
          <w:sz w:val="44"/>
          <w:szCs w:val="44"/>
        </w:rPr>
      </w:pPr>
    </w:p>
    <w:p w14:paraId="5B7FA672">
      <w:pPr>
        <w:ind w:firstLine="1760" w:firstLineChars="400"/>
        <w:rPr>
          <w:rFonts w:ascii="黑体" w:eastAsia="黑体"/>
          <w:color w:val="auto"/>
          <w:sz w:val="44"/>
          <w:szCs w:val="44"/>
        </w:rPr>
      </w:pPr>
    </w:p>
    <w:p w14:paraId="3BAF94A1">
      <w:pPr>
        <w:rPr>
          <w:rFonts w:ascii="黑体" w:eastAsia="黑体"/>
          <w:color w:val="auto"/>
          <w:sz w:val="44"/>
          <w:szCs w:val="44"/>
        </w:rPr>
      </w:pPr>
    </w:p>
    <w:p w14:paraId="24E04E70">
      <w:pPr>
        <w:ind w:firstLine="3120" w:firstLineChars="600"/>
        <w:rPr>
          <w:rFonts w:ascii="黑体" w:eastAsia="黑体"/>
          <w:color w:val="auto"/>
          <w:sz w:val="52"/>
          <w:szCs w:val="52"/>
        </w:rPr>
      </w:pPr>
      <w:r>
        <w:rPr>
          <w:rFonts w:hint="eastAsia" w:ascii="黑体" w:eastAsia="黑体"/>
          <w:color w:val="auto"/>
          <w:sz w:val="52"/>
          <w:szCs w:val="52"/>
        </w:rPr>
        <w:t>目录</w:t>
      </w:r>
    </w:p>
    <w:p w14:paraId="6EAFA6CD">
      <w:pPr>
        <w:ind w:firstLine="3080" w:firstLineChars="700"/>
        <w:rPr>
          <w:rFonts w:ascii="黑体" w:eastAsia="黑体"/>
          <w:color w:val="auto"/>
          <w:sz w:val="44"/>
          <w:szCs w:val="44"/>
        </w:rPr>
      </w:pPr>
    </w:p>
    <w:p w14:paraId="429E5162">
      <w:pPr>
        <w:pStyle w:val="10"/>
        <w:ind w:firstLine="0" w:firstLineChars="0"/>
        <w:rPr>
          <w:rFonts w:ascii="黑体" w:eastAsia="黑体"/>
          <w:color w:val="auto"/>
          <w:sz w:val="32"/>
          <w:szCs w:val="32"/>
        </w:rPr>
      </w:pPr>
      <w:r>
        <w:rPr>
          <w:rFonts w:hint="eastAsia" w:ascii="黑体" w:eastAsia="黑体"/>
          <w:color w:val="auto"/>
          <w:sz w:val="32"/>
          <w:szCs w:val="32"/>
        </w:rPr>
        <w:t>一、基本职能及主要工作</w:t>
      </w:r>
    </w:p>
    <w:p w14:paraId="7F2E6AD9">
      <w:pPr>
        <w:rPr>
          <w:rFonts w:ascii="楷体" w:eastAsia="楷体"/>
          <w:color w:val="auto"/>
          <w:sz w:val="32"/>
          <w:szCs w:val="32"/>
        </w:rPr>
      </w:pPr>
      <w:r>
        <w:rPr>
          <w:rFonts w:hint="eastAsia" w:ascii="楷体" w:eastAsia="楷体"/>
          <w:color w:val="auto"/>
          <w:sz w:val="32"/>
          <w:szCs w:val="32"/>
        </w:rPr>
        <w:t>（一）部门职能简介</w:t>
      </w:r>
    </w:p>
    <w:p w14:paraId="5B34E7BF">
      <w:pPr>
        <w:rPr>
          <w:rFonts w:ascii="楷体" w:eastAsia="楷体"/>
          <w:color w:val="auto"/>
          <w:sz w:val="32"/>
          <w:szCs w:val="32"/>
        </w:rPr>
      </w:pPr>
      <w:r>
        <w:rPr>
          <w:rFonts w:hint="eastAsia" w:ascii="楷体" w:eastAsia="楷体"/>
          <w:color w:val="auto"/>
          <w:sz w:val="32"/>
          <w:szCs w:val="32"/>
        </w:rPr>
        <w:t>（二）</w:t>
      </w:r>
      <w:r>
        <w:rPr>
          <w:rFonts w:ascii="楷体" w:eastAsia="楷体"/>
          <w:color w:val="auto"/>
          <w:sz w:val="32"/>
          <w:szCs w:val="32"/>
        </w:rPr>
        <w:t>2025</w:t>
      </w:r>
      <w:r>
        <w:rPr>
          <w:rFonts w:hint="eastAsia" w:ascii="楷体" w:eastAsia="楷体"/>
          <w:color w:val="auto"/>
          <w:sz w:val="32"/>
          <w:szCs w:val="32"/>
        </w:rPr>
        <w:t>年重点工作</w:t>
      </w:r>
    </w:p>
    <w:p w14:paraId="322A42B7">
      <w:pPr>
        <w:rPr>
          <w:rFonts w:ascii="黑体" w:eastAsia="黑体"/>
          <w:color w:val="auto"/>
          <w:sz w:val="32"/>
          <w:szCs w:val="32"/>
        </w:rPr>
      </w:pPr>
      <w:r>
        <w:rPr>
          <w:rFonts w:hint="eastAsia" w:ascii="黑体" w:eastAsia="黑体"/>
          <w:color w:val="auto"/>
          <w:sz w:val="32"/>
          <w:szCs w:val="32"/>
        </w:rPr>
        <w:t>二、部门预算单位构成</w:t>
      </w:r>
    </w:p>
    <w:p w14:paraId="5FF3860F">
      <w:pPr>
        <w:rPr>
          <w:rFonts w:ascii="黑体" w:eastAsia="黑体"/>
          <w:color w:val="auto"/>
          <w:sz w:val="32"/>
          <w:szCs w:val="32"/>
        </w:rPr>
      </w:pPr>
      <w:r>
        <w:rPr>
          <w:rFonts w:hint="eastAsia" w:ascii="黑体" w:eastAsia="黑体"/>
          <w:color w:val="auto"/>
          <w:sz w:val="32"/>
          <w:szCs w:val="32"/>
        </w:rPr>
        <w:t>三、收支预算情况说明</w:t>
      </w:r>
    </w:p>
    <w:p w14:paraId="3D7826C3">
      <w:pPr>
        <w:rPr>
          <w:rFonts w:ascii="楷体" w:eastAsia="楷体"/>
          <w:color w:val="auto"/>
          <w:sz w:val="32"/>
          <w:szCs w:val="32"/>
        </w:rPr>
      </w:pPr>
      <w:r>
        <w:rPr>
          <w:rFonts w:hint="eastAsia" w:ascii="楷体" w:eastAsia="楷体"/>
          <w:color w:val="auto"/>
          <w:sz w:val="32"/>
          <w:szCs w:val="32"/>
        </w:rPr>
        <w:t>（一）收入预算情况</w:t>
      </w:r>
    </w:p>
    <w:p w14:paraId="2F266895">
      <w:pPr>
        <w:rPr>
          <w:rFonts w:ascii="楷体" w:eastAsia="楷体"/>
          <w:color w:val="auto"/>
          <w:sz w:val="32"/>
          <w:szCs w:val="32"/>
        </w:rPr>
      </w:pPr>
      <w:r>
        <w:rPr>
          <w:rFonts w:hint="eastAsia" w:ascii="楷体" w:eastAsia="楷体"/>
          <w:color w:val="auto"/>
          <w:sz w:val="32"/>
          <w:szCs w:val="32"/>
        </w:rPr>
        <w:t>（二）支出预算情况</w:t>
      </w:r>
    </w:p>
    <w:p w14:paraId="1425B10C">
      <w:pPr>
        <w:rPr>
          <w:rFonts w:ascii="黑体" w:eastAsia="黑体"/>
          <w:color w:val="auto"/>
          <w:sz w:val="32"/>
          <w:szCs w:val="32"/>
        </w:rPr>
      </w:pPr>
      <w:r>
        <w:rPr>
          <w:rFonts w:hint="eastAsia" w:ascii="黑体" w:eastAsia="黑体"/>
          <w:color w:val="auto"/>
          <w:sz w:val="32"/>
          <w:szCs w:val="32"/>
        </w:rPr>
        <w:t>四、财政拨款收支预算情况说明</w:t>
      </w:r>
    </w:p>
    <w:p w14:paraId="3E95D08B">
      <w:pPr>
        <w:rPr>
          <w:rFonts w:ascii="黑体" w:eastAsia="黑体"/>
          <w:color w:val="auto"/>
          <w:sz w:val="32"/>
          <w:szCs w:val="32"/>
        </w:rPr>
      </w:pPr>
      <w:r>
        <w:rPr>
          <w:rFonts w:hint="eastAsia" w:ascii="黑体" w:eastAsia="黑体"/>
          <w:color w:val="auto"/>
          <w:sz w:val="32"/>
          <w:szCs w:val="32"/>
        </w:rPr>
        <w:t>五、一般公共预算当年拨款情况说明</w:t>
      </w:r>
    </w:p>
    <w:p w14:paraId="23156A0E">
      <w:pPr>
        <w:rPr>
          <w:rFonts w:ascii="黑体" w:eastAsia="黑体"/>
          <w:color w:val="auto"/>
          <w:sz w:val="32"/>
          <w:szCs w:val="32"/>
        </w:rPr>
      </w:pPr>
      <w:r>
        <w:rPr>
          <w:rFonts w:hint="eastAsia" w:ascii="楷体" w:eastAsia="楷体"/>
          <w:color w:val="auto"/>
          <w:sz w:val="32"/>
          <w:szCs w:val="32"/>
        </w:rPr>
        <w:t>（一）一般公共预算当年拨款规模变化情况</w:t>
      </w:r>
      <w:r>
        <w:rPr>
          <w:rFonts w:ascii="楷体" w:eastAsia="楷体"/>
          <w:color w:val="auto"/>
          <w:sz w:val="32"/>
          <w:szCs w:val="32"/>
        </w:rPr>
        <w:br w:type="textWrapping"/>
      </w:r>
      <w:r>
        <w:rPr>
          <w:rFonts w:hint="eastAsia" w:ascii="楷体" w:eastAsia="楷体"/>
          <w:color w:val="auto"/>
          <w:sz w:val="32"/>
          <w:szCs w:val="32"/>
        </w:rPr>
        <w:t>（二）一般公共预算当年拨款结构情况</w:t>
      </w:r>
      <w:r>
        <w:rPr>
          <w:rFonts w:ascii="楷体" w:eastAsia="楷体"/>
          <w:color w:val="auto"/>
          <w:sz w:val="32"/>
          <w:szCs w:val="32"/>
        </w:rPr>
        <w:br w:type="textWrapping"/>
      </w:r>
      <w:r>
        <w:rPr>
          <w:rFonts w:hint="eastAsia" w:ascii="楷体" w:eastAsia="楷体"/>
          <w:color w:val="auto"/>
          <w:sz w:val="32"/>
          <w:szCs w:val="32"/>
        </w:rPr>
        <w:t>（三）一般公共预算当年拨款具体使用情况</w:t>
      </w:r>
      <w:r>
        <w:rPr>
          <w:rFonts w:ascii="??" w:hAnsi="??" w:cs="宋体"/>
          <w:color w:val="auto"/>
          <w:kern w:val="0"/>
          <w:sz w:val="16"/>
          <w:szCs w:val="16"/>
        </w:rPr>
        <w:br w:type="textWrapping"/>
      </w:r>
      <w:r>
        <w:rPr>
          <w:rFonts w:hint="eastAsia" w:ascii="黑体" w:eastAsia="黑体"/>
          <w:color w:val="auto"/>
          <w:sz w:val="32"/>
          <w:szCs w:val="32"/>
        </w:rPr>
        <w:t>六、一般公共预算基本支出情况说明</w:t>
      </w:r>
      <w:r>
        <w:rPr>
          <w:rFonts w:ascii="黑体" w:eastAsia="黑体"/>
          <w:color w:val="auto"/>
          <w:sz w:val="32"/>
          <w:szCs w:val="32"/>
        </w:rPr>
        <w:br w:type="textWrapping"/>
      </w:r>
      <w:r>
        <w:rPr>
          <w:rFonts w:hint="eastAsia" w:ascii="黑体" w:eastAsia="黑体"/>
          <w:color w:val="auto"/>
          <w:sz w:val="32"/>
          <w:szCs w:val="32"/>
        </w:rPr>
        <w:t>七、“三公”经费财政拨款预算安排情况说明</w:t>
      </w:r>
      <w:r>
        <w:rPr>
          <w:rFonts w:ascii="黑体" w:eastAsia="黑体"/>
          <w:color w:val="auto"/>
          <w:sz w:val="32"/>
          <w:szCs w:val="32"/>
        </w:rPr>
        <w:br w:type="textWrapping"/>
      </w:r>
      <w:r>
        <w:rPr>
          <w:rFonts w:hint="eastAsia" w:ascii="黑体" w:eastAsia="黑体"/>
          <w:color w:val="auto"/>
          <w:sz w:val="32"/>
          <w:szCs w:val="32"/>
        </w:rPr>
        <w:t>八、政府性基金预算支出情况说明</w:t>
      </w:r>
      <w:r>
        <w:rPr>
          <w:rFonts w:ascii="黑体" w:eastAsia="黑体"/>
          <w:color w:val="auto"/>
          <w:sz w:val="32"/>
          <w:szCs w:val="32"/>
        </w:rPr>
        <w:br w:type="textWrapping"/>
      </w:r>
      <w:r>
        <w:rPr>
          <w:rFonts w:hint="eastAsia" w:ascii="黑体" w:eastAsia="黑体"/>
          <w:color w:val="auto"/>
          <w:sz w:val="32"/>
          <w:szCs w:val="32"/>
        </w:rPr>
        <w:t>九、其他重要事项的情况说明</w:t>
      </w:r>
      <w:r>
        <w:rPr>
          <w:rFonts w:ascii="黑体" w:eastAsia="黑体"/>
          <w:color w:val="auto"/>
          <w:sz w:val="32"/>
          <w:szCs w:val="32"/>
        </w:rPr>
        <w:br w:type="textWrapping"/>
      </w:r>
      <w:r>
        <w:rPr>
          <w:rFonts w:hint="eastAsia" w:ascii="黑体" w:eastAsia="黑体"/>
          <w:color w:val="auto"/>
          <w:sz w:val="32"/>
          <w:szCs w:val="32"/>
        </w:rPr>
        <w:t>十、名称解释</w:t>
      </w:r>
    </w:p>
    <w:p w14:paraId="316BBC9E">
      <w:pPr>
        <w:rPr>
          <w:rFonts w:ascii="黑体" w:eastAsia="黑体"/>
          <w:color w:val="auto"/>
          <w:sz w:val="32"/>
          <w:szCs w:val="32"/>
        </w:rPr>
      </w:pPr>
    </w:p>
    <w:p w14:paraId="0BD80E29">
      <w:pPr>
        <w:widowControl/>
        <w:shd w:val="clear" w:color="auto" w:fill="FFFFFF"/>
        <w:spacing w:before="100" w:beforeAutospacing="1" w:after="100" w:afterAutospacing="1" w:line="290" w:lineRule="atLeast"/>
        <w:ind w:right="300"/>
        <w:jc w:val="left"/>
        <w:rPr>
          <w:rFonts w:ascii="??" w:hAnsi="??" w:cs="宋体"/>
          <w:color w:val="auto"/>
          <w:kern w:val="0"/>
          <w:sz w:val="12"/>
          <w:szCs w:val="12"/>
        </w:rPr>
      </w:pPr>
    </w:p>
    <w:p w14:paraId="263858E4">
      <w:pPr>
        <w:pStyle w:val="10"/>
        <w:rPr>
          <w:rFonts w:ascii="黑体" w:eastAsia="黑体"/>
          <w:color w:val="auto"/>
          <w:sz w:val="32"/>
          <w:szCs w:val="32"/>
        </w:rPr>
      </w:pPr>
      <w:r>
        <w:rPr>
          <w:rFonts w:hint="eastAsia" w:ascii="黑体" w:eastAsia="黑体"/>
          <w:color w:val="auto"/>
          <w:sz w:val="32"/>
          <w:szCs w:val="32"/>
        </w:rPr>
        <w:t>一、基本职能及主要工作</w:t>
      </w:r>
    </w:p>
    <w:p w14:paraId="6D8CA391">
      <w:pPr>
        <w:ind w:firstLine="640" w:firstLineChars="200"/>
        <w:rPr>
          <w:rFonts w:ascii="楷体" w:eastAsia="楷体"/>
          <w:color w:val="auto"/>
          <w:sz w:val="32"/>
          <w:szCs w:val="32"/>
        </w:rPr>
      </w:pPr>
      <w:r>
        <w:rPr>
          <w:rFonts w:hint="eastAsia" w:ascii="楷体" w:eastAsia="楷体"/>
          <w:color w:val="auto"/>
          <w:sz w:val="32"/>
          <w:szCs w:val="32"/>
        </w:rPr>
        <w:t>（一）部门职能简介</w:t>
      </w:r>
    </w:p>
    <w:p w14:paraId="3F65953C">
      <w:pPr>
        <w:pStyle w:val="11"/>
        <w:keepNext w:val="0"/>
        <w:keepLines w:val="0"/>
        <w:pageBreakBefore w:val="0"/>
        <w:widowControl w:val="0"/>
        <w:kinsoku/>
        <w:wordWrap/>
        <w:overflowPunct/>
        <w:topLinePunct w:val="0"/>
        <w:autoSpaceDE/>
        <w:autoSpaceDN/>
        <w:bidi w:val="0"/>
        <w:adjustRightInd/>
        <w:snapToGrid/>
        <w:spacing w:line="360" w:lineRule="auto"/>
        <w:ind w:firstLine="640" w:firstLineChars="200"/>
        <w:jc w:val="left"/>
        <w:textAlignment w:val="auto"/>
        <w:rPr>
          <w:rFonts w:hint="eastAsia" w:ascii="仿宋_GB2312" w:hAnsi="Calibri" w:eastAsia="仿宋_GB2312" w:cs="Times New Roman"/>
          <w:color w:val="auto"/>
          <w:kern w:val="2"/>
          <w:sz w:val="32"/>
          <w:szCs w:val="32"/>
          <w:lang w:val="en-US" w:eastAsia="zh-CN" w:bidi="ar-SA"/>
        </w:rPr>
      </w:pPr>
      <w:r>
        <w:rPr>
          <w:rFonts w:hint="eastAsia" w:ascii="仿宋_GB2312" w:hAnsi="Calibri" w:eastAsia="仿宋_GB2312" w:cs="Times New Roman"/>
          <w:color w:val="auto"/>
          <w:kern w:val="2"/>
          <w:sz w:val="32"/>
          <w:szCs w:val="32"/>
          <w:lang w:val="en-US" w:eastAsia="zh-CN" w:bidi="ar-SA"/>
        </w:rPr>
        <w:t>达古冰川</w:t>
      </w:r>
      <w:r>
        <w:rPr>
          <w:rFonts w:hint="eastAsia" w:cs="Times New Roman"/>
          <w:color w:val="auto"/>
          <w:kern w:val="2"/>
          <w:sz w:val="32"/>
          <w:szCs w:val="32"/>
          <w:lang w:val="en-US" w:eastAsia="zh-CN" w:bidi="ar-SA"/>
        </w:rPr>
        <w:t>风景名胜区</w:t>
      </w:r>
      <w:bookmarkStart w:id="0" w:name="_GoBack"/>
      <w:bookmarkEnd w:id="0"/>
      <w:r>
        <w:rPr>
          <w:rFonts w:hint="eastAsia" w:ascii="仿宋_GB2312" w:hAnsi="Calibri" w:eastAsia="仿宋_GB2312" w:cs="Times New Roman"/>
          <w:color w:val="auto"/>
          <w:kern w:val="2"/>
          <w:sz w:val="32"/>
          <w:szCs w:val="32"/>
          <w:lang w:val="en-US" w:eastAsia="zh-CN" w:bidi="ar-SA"/>
        </w:rPr>
        <w:t>管理局与四川三达古自然保护区管理局执行两块牌子一套人马的管理制度。主要职责是景区内632平方公里森林资源管护、野生动植物保护，旅游建设与开发等职责。</w:t>
      </w:r>
    </w:p>
    <w:p w14:paraId="2B5728FB">
      <w:pPr>
        <w:ind w:firstLine="640" w:firstLineChars="200"/>
        <w:rPr>
          <w:rFonts w:hint="eastAsia" w:ascii="楷体" w:eastAsia="楷体"/>
          <w:color w:val="auto"/>
          <w:sz w:val="32"/>
          <w:szCs w:val="32"/>
        </w:rPr>
      </w:pPr>
      <w:r>
        <w:rPr>
          <w:rFonts w:hint="eastAsia" w:ascii="楷体" w:eastAsia="楷体"/>
          <w:color w:val="auto"/>
          <w:sz w:val="32"/>
          <w:szCs w:val="32"/>
        </w:rPr>
        <w:t>（二）</w:t>
      </w:r>
      <w:r>
        <w:rPr>
          <w:rFonts w:ascii="楷体" w:eastAsia="楷体"/>
          <w:color w:val="auto"/>
          <w:sz w:val="32"/>
          <w:szCs w:val="32"/>
        </w:rPr>
        <w:t>2025</w:t>
      </w:r>
      <w:r>
        <w:rPr>
          <w:rFonts w:hint="eastAsia" w:ascii="楷体" w:eastAsia="楷体"/>
          <w:color w:val="auto"/>
          <w:sz w:val="32"/>
          <w:szCs w:val="32"/>
        </w:rPr>
        <w:t>年重点工作</w:t>
      </w:r>
    </w:p>
    <w:p w14:paraId="7E97A646">
      <w:pPr>
        <w:keepNext w:val="0"/>
        <w:keepLines w:val="0"/>
        <w:pageBreakBefore w:val="0"/>
        <w:widowControl w:val="0"/>
        <w:kinsoku/>
        <w:wordWrap/>
        <w:overflowPunct/>
        <w:topLinePunct w:val="0"/>
        <w:autoSpaceDE/>
        <w:autoSpaceDN/>
        <w:bidi w:val="0"/>
        <w:adjustRightInd/>
        <w:spacing w:line="520" w:lineRule="exact"/>
        <w:ind w:left="0" w:firstLine="482" w:firstLineChars="150"/>
        <w:textAlignment w:val="auto"/>
        <w:rPr>
          <w:rFonts w:hint="eastAsia" w:ascii="仿宋_GB2312" w:eastAsia="仿宋_GB2312"/>
          <w:color w:val="auto"/>
          <w:sz w:val="32"/>
          <w:szCs w:val="32"/>
        </w:rPr>
      </w:pPr>
      <w:r>
        <w:rPr>
          <w:rFonts w:hint="eastAsia" w:ascii="楷体_GB2312" w:hAnsi="楷体_GB2312" w:eastAsia="楷体_GB2312" w:cs="楷体_GB2312"/>
          <w:b/>
          <w:color w:val="auto"/>
          <w:sz w:val="32"/>
          <w:szCs w:val="32"/>
          <w:lang w:eastAsia="zh-CN"/>
        </w:rPr>
        <w:t>（一）贯彻生态文明理念抓保护科研，全力推动景区持续发展。</w:t>
      </w:r>
      <w:r>
        <w:rPr>
          <w:rFonts w:hint="eastAsia" w:ascii="仿宋_GB2312" w:eastAsia="仿宋_GB2312"/>
          <w:color w:val="auto"/>
          <w:sz w:val="32"/>
          <w:szCs w:val="32"/>
        </w:rPr>
        <w:t>认真践行绿色发展理念，扎实开展森林草原防灭火、野生动植物保护和救助、森林病虫害防治、</w:t>
      </w:r>
      <w:r>
        <w:rPr>
          <w:rFonts w:hint="eastAsia" w:ascii="仿宋_GB2312" w:eastAsia="仿宋_GB2312"/>
          <w:color w:val="auto"/>
          <w:sz w:val="32"/>
          <w:szCs w:val="32"/>
          <w:lang w:eastAsia="zh-CN"/>
        </w:rPr>
        <w:t>环境质量提升行动</w:t>
      </w:r>
      <w:r>
        <w:rPr>
          <w:rFonts w:hint="eastAsia" w:ascii="仿宋_GB2312" w:eastAsia="仿宋_GB2312"/>
          <w:color w:val="auto"/>
          <w:sz w:val="32"/>
          <w:szCs w:val="32"/>
        </w:rPr>
        <w:t>等生态保护工作。持续推行河（湖）长制、林长制;定期开展环境质量检测，进一步改善和提升景区生态功能。</w:t>
      </w:r>
      <w:r>
        <w:rPr>
          <w:rFonts w:hint="eastAsia" w:ascii="仿宋_GB2312" w:eastAsia="仿宋_GB2312"/>
          <w:color w:val="auto"/>
          <w:sz w:val="32"/>
          <w:szCs w:val="32"/>
          <w:lang w:eastAsia="zh-CN"/>
        </w:rPr>
        <w:t>强化与高等院校的联动合作，</w:t>
      </w:r>
      <w:r>
        <w:rPr>
          <w:rFonts w:hint="eastAsia" w:ascii="仿宋_GB2312" w:eastAsia="仿宋_GB2312"/>
          <w:color w:val="auto"/>
          <w:sz w:val="32"/>
          <w:szCs w:val="32"/>
        </w:rPr>
        <w:t>持续开展“冰川盖被子”试验；进一步强化冰川、地质地貌等资源调查、保护</w:t>
      </w:r>
      <w:r>
        <w:rPr>
          <w:rFonts w:hint="eastAsia" w:ascii="仿宋_GB2312" w:eastAsia="仿宋_GB2312"/>
          <w:color w:val="auto"/>
          <w:sz w:val="32"/>
          <w:szCs w:val="32"/>
          <w:lang w:eastAsia="zh-CN"/>
        </w:rPr>
        <w:t>、</w:t>
      </w:r>
      <w:r>
        <w:rPr>
          <w:rFonts w:hint="eastAsia" w:ascii="仿宋_GB2312" w:eastAsia="仿宋_GB2312"/>
          <w:color w:val="auto"/>
          <w:sz w:val="32"/>
          <w:szCs w:val="32"/>
        </w:rPr>
        <w:t>科研</w:t>
      </w:r>
      <w:r>
        <w:rPr>
          <w:rFonts w:hint="eastAsia" w:ascii="仿宋_GB2312" w:eastAsia="仿宋_GB2312"/>
          <w:color w:val="auto"/>
          <w:sz w:val="32"/>
          <w:szCs w:val="32"/>
          <w:lang w:eastAsia="zh-CN"/>
        </w:rPr>
        <w:t>和科普</w:t>
      </w:r>
      <w:r>
        <w:rPr>
          <w:rFonts w:hint="eastAsia" w:ascii="仿宋_GB2312" w:eastAsia="仿宋_GB2312"/>
          <w:color w:val="auto"/>
          <w:sz w:val="32"/>
          <w:szCs w:val="32"/>
        </w:rPr>
        <w:t>工作，最大限度地保护“大冰川”自然生态环境。</w:t>
      </w:r>
    </w:p>
    <w:p w14:paraId="3B69FA59">
      <w:pPr>
        <w:keepNext w:val="0"/>
        <w:keepLines w:val="0"/>
        <w:pageBreakBefore w:val="0"/>
        <w:widowControl w:val="0"/>
        <w:kinsoku/>
        <w:wordWrap/>
        <w:overflowPunct/>
        <w:topLinePunct w:val="0"/>
        <w:autoSpaceDE/>
        <w:autoSpaceDN/>
        <w:bidi w:val="0"/>
        <w:adjustRightInd/>
        <w:spacing w:line="520" w:lineRule="exact"/>
        <w:ind w:firstLine="482" w:firstLineChars="150"/>
        <w:textAlignment w:val="auto"/>
        <w:rPr>
          <w:rFonts w:hint="eastAsia" w:ascii="仿宋_GB2312" w:eastAsia="仿宋_GB2312"/>
          <w:color w:val="auto"/>
          <w:sz w:val="32"/>
          <w:szCs w:val="32"/>
        </w:rPr>
      </w:pPr>
      <w:r>
        <w:rPr>
          <w:rFonts w:hint="eastAsia" w:ascii="楷体_GB2312" w:hAnsi="楷体_GB2312" w:eastAsia="楷体_GB2312" w:cs="楷体_GB2312"/>
          <w:b/>
          <w:color w:val="auto"/>
          <w:sz w:val="32"/>
          <w:szCs w:val="32"/>
          <w:lang w:eastAsia="zh-CN"/>
        </w:rPr>
        <w:t>（二）贯彻全域发展理念抓规划建设，全力推动景区全面发展。</w:t>
      </w:r>
      <w:r>
        <w:rPr>
          <w:rFonts w:hint="eastAsia" w:ascii="仿宋_GB2312" w:eastAsia="仿宋_GB2312"/>
          <w:color w:val="auto"/>
          <w:sz w:val="32"/>
          <w:szCs w:val="32"/>
          <w:lang w:eastAsia="zh-CN"/>
        </w:rPr>
        <w:t>聚焦“建设民族地区高质发展阿坝典范”</w:t>
      </w:r>
      <w:r>
        <w:rPr>
          <w:rFonts w:hint="eastAsia" w:ascii="仿宋_GB2312" w:eastAsia="仿宋_GB2312"/>
          <w:color w:val="auto"/>
          <w:sz w:val="32"/>
          <w:szCs w:val="32"/>
        </w:rPr>
        <w:t>发展战略，</w:t>
      </w:r>
      <w:r>
        <w:rPr>
          <w:rFonts w:hint="eastAsia" w:ascii="仿宋_GB2312" w:eastAsia="仿宋_GB2312"/>
          <w:color w:val="auto"/>
          <w:sz w:val="32"/>
          <w:szCs w:val="32"/>
          <w:lang w:eastAsia="zh-CN"/>
        </w:rPr>
        <w:t>以打造“五个之州”为引领，以</w:t>
      </w:r>
      <w:r>
        <w:rPr>
          <w:rFonts w:hint="eastAsia" w:ascii="仿宋_GB2312" w:eastAsia="仿宋_GB2312"/>
          <w:color w:val="auto"/>
          <w:sz w:val="32"/>
          <w:szCs w:val="32"/>
        </w:rPr>
        <w:t>擦亮“大冰川”品牌为主线，</w:t>
      </w:r>
      <w:r>
        <w:rPr>
          <w:rFonts w:hint="eastAsia" w:ascii="仿宋_GB2312" w:eastAsia="仿宋_GB2312"/>
          <w:color w:val="auto"/>
          <w:sz w:val="32"/>
          <w:szCs w:val="32"/>
          <w:lang w:eastAsia="zh-CN"/>
        </w:rPr>
        <w:t>全面启动并有序推进达古冰川提升改造工作。加快推进景区旅游基础设施项目（一期）包装储备和落地工作；跟踪对接落实</w:t>
      </w:r>
      <w:r>
        <w:rPr>
          <w:rFonts w:hint="eastAsia" w:ascii="仿宋_GB2312" w:eastAsia="仿宋_GB2312"/>
          <w:color w:val="auto"/>
          <w:sz w:val="32"/>
          <w:szCs w:val="32"/>
        </w:rPr>
        <w:t>达古冰川景区智慧旅游项目</w:t>
      </w:r>
      <w:r>
        <w:rPr>
          <w:rFonts w:hint="eastAsia" w:ascii="仿宋_GB2312" w:eastAsia="仿宋_GB2312"/>
          <w:color w:val="auto"/>
          <w:sz w:val="32"/>
          <w:szCs w:val="32"/>
          <w:lang w:eastAsia="zh-CN"/>
        </w:rPr>
        <w:t>经费</w:t>
      </w:r>
      <w:r>
        <w:rPr>
          <w:rFonts w:hint="eastAsia" w:ascii="仿宋_GB2312" w:eastAsia="仿宋_GB2312"/>
          <w:color w:val="auto"/>
          <w:sz w:val="32"/>
          <w:szCs w:val="32"/>
        </w:rPr>
        <w:t>，</w:t>
      </w:r>
      <w:r>
        <w:rPr>
          <w:rFonts w:hint="eastAsia" w:ascii="仿宋_GB2312" w:eastAsia="仿宋_GB2312"/>
          <w:color w:val="auto"/>
          <w:sz w:val="32"/>
          <w:szCs w:val="32"/>
          <w:lang w:eastAsia="zh-CN"/>
        </w:rPr>
        <w:t>助推</w:t>
      </w:r>
      <w:r>
        <w:rPr>
          <w:rFonts w:hint="eastAsia" w:ascii="仿宋_GB2312" w:eastAsia="仿宋_GB2312"/>
          <w:color w:val="auto"/>
          <w:sz w:val="32"/>
          <w:szCs w:val="32"/>
        </w:rPr>
        <w:t>达古冰川</w:t>
      </w:r>
      <w:r>
        <w:rPr>
          <w:rFonts w:hint="eastAsia" w:ascii="仿宋_GB2312" w:eastAsia="仿宋_GB2312"/>
          <w:color w:val="auto"/>
          <w:sz w:val="32"/>
          <w:szCs w:val="32"/>
          <w:lang w:eastAsia="zh-CN"/>
        </w:rPr>
        <w:t>提档升级。</w:t>
      </w:r>
      <w:r>
        <w:rPr>
          <w:rFonts w:hint="eastAsia" w:ascii="仿宋_GB2312" w:eastAsia="仿宋_GB2312"/>
          <w:color w:val="auto"/>
          <w:sz w:val="32"/>
          <w:szCs w:val="32"/>
        </w:rPr>
        <w:t>有序推进国家５A级景区创建工作，推动景区全面转型升级发展。</w:t>
      </w:r>
    </w:p>
    <w:p w14:paraId="7EE6BF68">
      <w:pPr>
        <w:keepNext w:val="0"/>
        <w:keepLines w:val="0"/>
        <w:pageBreakBefore w:val="0"/>
        <w:widowControl w:val="0"/>
        <w:kinsoku/>
        <w:wordWrap/>
        <w:overflowPunct/>
        <w:topLinePunct w:val="0"/>
        <w:autoSpaceDE/>
        <w:autoSpaceDN/>
        <w:bidi w:val="0"/>
        <w:adjustRightInd/>
        <w:spacing w:line="520" w:lineRule="exact"/>
        <w:ind w:firstLine="482" w:firstLineChars="150"/>
        <w:textAlignment w:val="auto"/>
        <w:rPr>
          <w:rFonts w:hint="eastAsia" w:ascii="仿宋_GB2312" w:eastAsia="仿宋_GB2312"/>
          <w:color w:val="auto"/>
          <w:sz w:val="32"/>
          <w:szCs w:val="32"/>
        </w:rPr>
      </w:pPr>
      <w:r>
        <w:rPr>
          <w:rFonts w:hint="eastAsia" w:ascii="楷体_GB2312" w:hAnsi="楷体_GB2312" w:eastAsia="楷体_GB2312" w:cs="楷体_GB2312"/>
          <w:b/>
          <w:color w:val="auto"/>
          <w:sz w:val="32"/>
          <w:szCs w:val="32"/>
          <w:lang w:eastAsia="zh-CN"/>
        </w:rPr>
        <w:t>（三）贯彻创新发展理念抓宣传营销，全力推动景区科学发展。</w:t>
      </w:r>
      <w:r>
        <w:rPr>
          <w:rFonts w:hint="eastAsia" w:ascii="仿宋_GB2312" w:eastAsia="仿宋_GB2312"/>
          <w:color w:val="auto"/>
          <w:sz w:val="32"/>
          <w:szCs w:val="32"/>
        </w:rPr>
        <w:t>围绕“大冰川”品牌，</w:t>
      </w:r>
      <w:r>
        <w:rPr>
          <w:rFonts w:hint="eastAsia" w:ascii="仿宋_GB2312" w:eastAsia="仿宋_GB2312"/>
          <w:color w:val="auto"/>
          <w:sz w:val="32"/>
          <w:szCs w:val="32"/>
          <w:lang w:eastAsia="zh-CN"/>
        </w:rPr>
        <w:t>进一步优化特色旅游产品和线路。强化“旅游</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“+旅游”跨界融合发展。</w:t>
      </w:r>
      <w:r>
        <w:rPr>
          <w:rFonts w:hint="eastAsia" w:ascii="仿宋_GB2312" w:eastAsia="仿宋_GB2312"/>
          <w:color w:val="auto"/>
          <w:sz w:val="32"/>
          <w:szCs w:val="32"/>
        </w:rPr>
        <w:t>主动出击，在巩固成渝两地客源市场的基础上，积极开辟西安、兰州、长三角、珠三角及东南亚市场。进一步加强与旅行（商）社的联系合作，培育和发展“大冰川”旅游专线，力争景区团队游客有新突破。积极主动参加国家、省、州相关部门组织的各类旅游节，有效推进景区产品宣传和推广，有力提升景区知名度和美誉度。</w:t>
      </w:r>
    </w:p>
    <w:p w14:paraId="71ABB70C">
      <w:pPr>
        <w:ind w:firstLine="643" w:firstLineChars="200"/>
        <w:rPr>
          <w:rFonts w:hint="eastAsia" w:ascii="楷体" w:eastAsia="楷体"/>
          <w:color w:val="auto"/>
          <w:sz w:val="32"/>
          <w:szCs w:val="32"/>
        </w:rPr>
      </w:pPr>
      <w:r>
        <w:rPr>
          <w:rFonts w:hint="eastAsia" w:ascii="楷体_GB2312" w:hAnsi="楷体_GB2312" w:eastAsia="楷体_GB2312" w:cs="楷体_GB2312"/>
          <w:b/>
          <w:color w:val="auto"/>
          <w:sz w:val="32"/>
          <w:szCs w:val="32"/>
          <w:lang w:eastAsia="zh-CN"/>
        </w:rPr>
        <w:t>（四）贯彻共享发展理念抓管理服务，全力推动景区和谐发展。</w:t>
      </w:r>
      <w:r>
        <w:rPr>
          <w:rFonts w:hint="eastAsia" w:ascii="仿宋_GB2312" w:eastAsia="仿宋_GB2312"/>
          <w:color w:val="auto"/>
          <w:sz w:val="32"/>
          <w:szCs w:val="32"/>
          <w:lang w:eastAsia="zh-CN"/>
        </w:rPr>
        <w:t>认真践行以人为本理念，坚持标准化服务，全力塑造冰川旅游新形象</w:t>
      </w:r>
      <w:r>
        <w:rPr>
          <w:rFonts w:hint="eastAsia" w:ascii="仿宋_GB2312" w:eastAsia="仿宋_GB2312"/>
          <w:color w:val="auto"/>
          <w:sz w:val="32"/>
          <w:szCs w:val="32"/>
        </w:rPr>
        <w:t>。持续开展旅游安全工作，坚守安全生产底线。加大旅游市场整治，依法打击强制消费、价格欺诈、坐地起价、敲诈勒索等行为；畅通投诉举报渠道，高效快捷处置各类投诉举报，有效保障游客合法权益。全面强化网络舆情监测和应对，杜绝发生重特大旅游投诉和负面影响事件。</w:t>
      </w:r>
    </w:p>
    <w:p w14:paraId="15ED11D2">
      <w:pPr>
        <w:pStyle w:val="10"/>
        <w:numPr>
          <w:ilvl w:val="0"/>
          <w:numId w:val="1"/>
        </w:numPr>
        <w:ind w:firstLineChars="0"/>
        <w:rPr>
          <w:rFonts w:ascii="黑体" w:eastAsia="黑体"/>
          <w:color w:val="auto"/>
          <w:sz w:val="32"/>
          <w:szCs w:val="32"/>
        </w:rPr>
      </w:pPr>
      <w:r>
        <w:rPr>
          <w:rFonts w:hint="eastAsia" w:ascii="黑体" w:eastAsia="黑体"/>
          <w:color w:val="auto"/>
          <w:sz w:val="32"/>
          <w:szCs w:val="32"/>
        </w:rPr>
        <w:t>部门预算单位构成</w:t>
      </w:r>
    </w:p>
    <w:p w14:paraId="31AA98E1">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达古冰川</w:t>
      </w:r>
      <w:r>
        <w:rPr>
          <w:rFonts w:hint="eastAsia" w:ascii="仿宋_GB2312" w:hAnsi="仿宋_GB2312" w:eastAsia="仿宋_GB2312" w:cs="仿宋_GB2312"/>
          <w:color w:val="auto"/>
          <w:sz w:val="32"/>
          <w:szCs w:val="32"/>
        </w:rPr>
        <w:t>管理局属一级预算单位，无下属二级预算单位，其中</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无行政单位；无参照公务员法管理的事业单位；无其他事业单位。</w:t>
      </w:r>
    </w:p>
    <w:p w14:paraId="16261595">
      <w:pPr>
        <w:pStyle w:val="10"/>
        <w:ind w:left="720" w:firstLine="0" w:firstLineChars="0"/>
        <w:rPr>
          <w:rFonts w:ascii="黑体" w:eastAsia="黑体"/>
          <w:color w:val="auto"/>
          <w:sz w:val="32"/>
          <w:szCs w:val="32"/>
        </w:rPr>
      </w:pPr>
      <w:r>
        <w:rPr>
          <w:rFonts w:hint="eastAsia" w:ascii="黑体" w:eastAsia="黑体"/>
          <w:color w:val="auto"/>
          <w:sz w:val="32"/>
          <w:szCs w:val="32"/>
        </w:rPr>
        <w:t>三、收支预算情况说明</w:t>
      </w:r>
    </w:p>
    <w:p w14:paraId="7D532E28">
      <w:pPr>
        <w:ind w:firstLine="640" w:firstLineChars="200"/>
        <w:rPr>
          <w:rFonts w:hint="eastAsia" w:ascii="楷体" w:eastAsia="楷体"/>
          <w:color w:val="auto"/>
          <w:sz w:val="32"/>
          <w:szCs w:val="32"/>
        </w:rPr>
      </w:pPr>
      <w:r>
        <w:rPr>
          <w:rFonts w:hint="eastAsia" w:ascii="楷体" w:eastAsia="楷体"/>
          <w:color w:val="auto"/>
          <w:sz w:val="32"/>
          <w:szCs w:val="32"/>
        </w:rPr>
        <w:t>（一）收入预算情况</w:t>
      </w:r>
    </w:p>
    <w:p w14:paraId="70E570CC">
      <w:pPr>
        <w:pStyle w:val="2"/>
        <w:ind w:firstLine="640" w:firstLineChars="200"/>
        <w:rPr>
          <w:color w:val="auto"/>
        </w:rPr>
      </w:pPr>
      <w:r>
        <w:rPr>
          <w:rFonts w:hint="eastAsia" w:ascii="仿宋_GB2312" w:hAnsi="仿宋_GB2312" w:eastAsia="仿宋_GB2312" w:cs="仿宋_GB2312"/>
          <w:color w:val="auto"/>
          <w:sz w:val="32"/>
          <w:szCs w:val="32"/>
          <w:lang w:eastAsia="zh-CN"/>
        </w:rPr>
        <w:t>达古冰川</w:t>
      </w:r>
      <w:r>
        <w:rPr>
          <w:rFonts w:hint="eastAsia" w:ascii="仿宋_GB2312" w:hAnsi="仿宋_GB2312" w:eastAsia="仿宋_GB2312" w:cs="仿宋_GB2312"/>
          <w:color w:val="auto"/>
          <w:sz w:val="32"/>
          <w:szCs w:val="32"/>
        </w:rPr>
        <w:t>管理局</w:t>
      </w:r>
      <w:r>
        <w:rPr>
          <w:rFonts w:hint="eastAsia" w:ascii="仿宋_GB2312" w:hAnsi="仿宋_GB2312" w:eastAsia="仿宋_GB2312" w:cs="仿宋_GB2312"/>
          <w:color w:val="auto"/>
          <w:sz w:val="32"/>
          <w:szCs w:val="32"/>
          <w:lang w:eastAsia="zh-CN"/>
        </w:rPr>
        <w:t>202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年收入预算</w:t>
      </w:r>
      <w:r>
        <w:rPr>
          <w:rFonts w:hint="eastAsia" w:ascii="仿宋_GB2312" w:hAnsi="仿宋_GB2312" w:eastAsia="仿宋_GB2312" w:cs="仿宋_GB2312"/>
          <w:color w:val="auto"/>
          <w:sz w:val="32"/>
          <w:szCs w:val="32"/>
          <w:highlight w:val="none"/>
          <w:lang w:val="en-US" w:eastAsia="zh-CN"/>
        </w:rPr>
        <w:t>3535.69</w:t>
      </w:r>
      <w:r>
        <w:rPr>
          <w:rFonts w:hint="eastAsia" w:ascii="仿宋_GB2312" w:hAnsi="仿宋_GB2312" w:eastAsia="仿宋_GB2312" w:cs="仿宋_GB2312"/>
          <w:color w:val="auto"/>
          <w:sz w:val="32"/>
          <w:szCs w:val="32"/>
        </w:rPr>
        <w:t>万元，其中：一般公共预算拨款收入</w:t>
      </w:r>
      <w:r>
        <w:rPr>
          <w:rFonts w:hint="eastAsia" w:ascii="仿宋_GB2312" w:hAnsi="仿宋_GB2312" w:eastAsia="仿宋_GB2312" w:cs="仿宋_GB2312"/>
          <w:color w:val="auto"/>
          <w:sz w:val="32"/>
          <w:szCs w:val="32"/>
          <w:highlight w:val="none"/>
          <w:lang w:val="en-US" w:eastAsia="zh-CN"/>
        </w:rPr>
        <w:t>3535.69</w:t>
      </w:r>
      <w:r>
        <w:rPr>
          <w:rFonts w:hint="eastAsia" w:ascii="仿宋_GB2312" w:hAnsi="仿宋_GB2312" w:eastAsia="仿宋_GB2312" w:cs="仿宋_GB2312"/>
          <w:color w:val="auto"/>
          <w:sz w:val="32"/>
          <w:szCs w:val="32"/>
        </w:rPr>
        <w:t>万元，占</w:t>
      </w:r>
      <w:r>
        <w:rPr>
          <w:rFonts w:hint="eastAsia" w:ascii="仿宋_GB2312" w:hAnsi="仿宋_GB2312" w:eastAsia="仿宋_GB2312" w:cs="仿宋_GB2312"/>
          <w:color w:val="auto"/>
          <w:sz w:val="32"/>
          <w:szCs w:val="32"/>
          <w:lang w:val="en-US" w:eastAsia="zh-CN"/>
        </w:rPr>
        <w:t>100</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无上年结转；</w:t>
      </w:r>
      <w:r>
        <w:rPr>
          <w:rFonts w:hint="eastAsia" w:ascii="仿宋_GB2312" w:hAnsi="仿宋_GB2312" w:eastAsia="仿宋_GB2312" w:cs="仿宋_GB2312"/>
          <w:color w:val="auto"/>
          <w:sz w:val="32"/>
          <w:szCs w:val="32"/>
        </w:rPr>
        <w:t>事业收入0万元；其他收入0万元。</w:t>
      </w:r>
    </w:p>
    <w:p w14:paraId="02FAE4F3">
      <w:pPr>
        <w:numPr>
          <w:ilvl w:val="0"/>
          <w:numId w:val="2"/>
        </w:numPr>
        <w:ind w:left="640" w:leftChars="0" w:firstLine="0" w:firstLineChars="0"/>
        <w:jc w:val="left"/>
        <w:rPr>
          <w:rFonts w:hint="eastAsia" w:ascii="楷体" w:eastAsia="楷体" w:cs="仿宋_GB2312"/>
          <w:color w:val="auto"/>
          <w:sz w:val="32"/>
          <w:szCs w:val="32"/>
        </w:rPr>
      </w:pPr>
      <w:r>
        <w:rPr>
          <w:rFonts w:hint="eastAsia" w:ascii="楷体" w:eastAsia="楷体" w:cs="仿宋_GB2312"/>
          <w:color w:val="auto"/>
          <w:sz w:val="32"/>
          <w:szCs w:val="32"/>
        </w:rPr>
        <w:t>支出预算情况</w:t>
      </w:r>
    </w:p>
    <w:p w14:paraId="7661DE27">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color w:val="auto"/>
        </w:rPr>
      </w:pPr>
      <w:r>
        <w:rPr>
          <w:rFonts w:hint="eastAsia" w:ascii="仿宋_GB2312" w:hAnsi="仿宋_GB2312" w:eastAsia="仿宋_GB2312" w:cs="仿宋_GB2312"/>
          <w:color w:val="auto"/>
          <w:sz w:val="32"/>
          <w:szCs w:val="32"/>
          <w:lang w:eastAsia="zh-CN"/>
        </w:rPr>
        <w:t>达古冰川</w:t>
      </w:r>
      <w:r>
        <w:rPr>
          <w:rFonts w:hint="eastAsia" w:ascii="仿宋_GB2312" w:hAnsi="仿宋_GB2312" w:eastAsia="仿宋_GB2312" w:cs="仿宋_GB2312"/>
          <w:color w:val="auto"/>
          <w:sz w:val="32"/>
          <w:szCs w:val="32"/>
        </w:rPr>
        <w:t>管理局</w:t>
      </w:r>
      <w:r>
        <w:rPr>
          <w:rFonts w:hint="eastAsia" w:ascii="仿宋_GB2312" w:hAnsi="仿宋_GB2312" w:eastAsia="仿宋_GB2312" w:cs="仿宋_GB2312"/>
          <w:color w:val="auto"/>
          <w:sz w:val="32"/>
          <w:szCs w:val="32"/>
          <w:lang w:eastAsia="zh-CN"/>
        </w:rPr>
        <w:t>202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年支出预算</w:t>
      </w:r>
      <w:r>
        <w:rPr>
          <w:rFonts w:hint="eastAsia" w:ascii="仿宋_GB2312" w:hAnsi="仿宋_GB2312" w:eastAsia="仿宋_GB2312" w:cs="仿宋_GB2312"/>
          <w:color w:val="auto"/>
          <w:sz w:val="32"/>
          <w:szCs w:val="32"/>
          <w:highlight w:val="none"/>
          <w:lang w:val="en-US" w:eastAsia="zh-CN"/>
        </w:rPr>
        <w:t>3535.69</w:t>
      </w:r>
      <w:r>
        <w:rPr>
          <w:rFonts w:hint="eastAsia" w:ascii="仿宋_GB2312" w:hAnsi="仿宋_GB2312" w:eastAsia="仿宋_GB2312" w:cs="仿宋_GB2312"/>
          <w:color w:val="auto"/>
          <w:sz w:val="32"/>
          <w:szCs w:val="32"/>
        </w:rPr>
        <w:t>万元，其中：基本支出</w:t>
      </w:r>
      <w:r>
        <w:rPr>
          <w:rFonts w:hint="eastAsia" w:ascii="仿宋_GB2312" w:hAnsi="仿宋_GB2312" w:eastAsia="仿宋_GB2312" w:cs="仿宋_GB2312"/>
          <w:color w:val="auto"/>
          <w:sz w:val="32"/>
          <w:szCs w:val="32"/>
          <w:lang w:val="en-US" w:eastAsia="zh-CN"/>
        </w:rPr>
        <w:t>2578.69</w:t>
      </w:r>
      <w:r>
        <w:rPr>
          <w:rFonts w:hint="eastAsia" w:ascii="仿宋_GB2312" w:hAnsi="仿宋_GB2312" w:eastAsia="仿宋_GB2312" w:cs="仿宋_GB2312"/>
          <w:color w:val="auto"/>
          <w:sz w:val="32"/>
          <w:szCs w:val="32"/>
        </w:rPr>
        <w:t>万元，占</w:t>
      </w:r>
      <w:r>
        <w:rPr>
          <w:rFonts w:hint="eastAsia" w:ascii="仿宋_GB2312" w:hAnsi="仿宋_GB2312" w:eastAsia="仿宋_GB2312" w:cs="仿宋_GB2312"/>
          <w:color w:val="auto"/>
          <w:sz w:val="32"/>
          <w:szCs w:val="32"/>
          <w:lang w:val="en-US" w:eastAsia="zh-CN"/>
        </w:rPr>
        <w:t>72.93</w:t>
      </w:r>
      <w:r>
        <w:rPr>
          <w:rFonts w:hint="eastAsia" w:ascii="仿宋_GB2312" w:hAnsi="仿宋_GB2312" w:eastAsia="仿宋_GB2312" w:cs="仿宋_GB2312"/>
          <w:color w:val="auto"/>
          <w:sz w:val="32"/>
          <w:szCs w:val="32"/>
        </w:rPr>
        <w:t>%；项目支出</w:t>
      </w:r>
      <w:r>
        <w:rPr>
          <w:rFonts w:hint="eastAsia" w:ascii="仿宋_GB2312" w:hAnsi="仿宋_GB2312" w:eastAsia="仿宋_GB2312" w:cs="仿宋_GB2312"/>
          <w:color w:val="auto"/>
          <w:sz w:val="32"/>
          <w:szCs w:val="32"/>
          <w:lang w:val="en-US" w:eastAsia="zh-CN"/>
        </w:rPr>
        <w:t>957.00</w:t>
      </w:r>
      <w:r>
        <w:rPr>
          <w:rFonts w:hint="eastAsia" w:ascii="仿宋_GB2312" w:hAnsi="仿宋_GB2312" w:eastAsia="仿宋_GB2312" w:cs="仿宋_GB2312"/>
          <w:color w:val="auto"/>
          <w:sz w:val="32"/>
          <w:szCs w:val="32"/>
        </w:rPr>
        <w:t>万元，占</w:t>
      </w:r>
      <w:r>
        <w:rPr>
          <w:rFonts w:hint="eastAsia" w:ascii="仿宋_GB2312" w:hAnsi="仿宋_GB2312" w:eastAsia="仿宋_GB2312" w:cs="仿宋_GB2312"/>
          <w:color w:val="auto"/>
          <w:sz w:val="32"/>
          <w:szCs w:val="32"/>
          <w:lang w:val="en-US" w:eastAsia="zh-CN"/>
        </w:rPr>
        <w:t>27.07</w:t>
      </w:r>
      <w:r>
        <w:rPr>
          <w:rFonts w:hint="eastAsia" w:ascii="仿宋_GB2312" w:hAnsi="仿宋_GB2312" w:eastAsia="仿宋_GB2312" w:cs="仿宋_GB2312"/>
          <w:color w:val="auto"/>
          <w:sz w:val="32"/>
          <w:szCs w:val="32"/>
        </w:rPr>
        <w:t>%。</w:t>
      </w:r>
    </w:p>
    <w:p w14:paraId="46FE9C55">
      <w:pPr>
        <w:numPr>
          <w:ilvl w:val="0"/>
          <w:numId w:val="1"/>
        </w:numPr>
        <w:ind w:left="1360" w:leftChars="0" w:hanging="720" w:firstLineChars="0"/>
        <w:rPr>
          <w:rFonts w:hint="eastAsia" w:ascii="黑体" w:eastAsia="黑体"/>
          <w:color w:val="auto"/>
          <w:sz w:val="32"/>
          <w:szCs w:val="32"/>
        </w:rPr>
      </w:pPr>
      <w:r>
        <w:rPr>
          <w:rFonts w:hint="eastAsia" w:ascii="黑体" w:eastAsia="黑体"/>
          <w:color w:val="auto"/>
          <w:sz w:val="32"/>
          <w:szCs w:val="32"/>
        </w:rPr>
        <w:t>财政拨款收支预算情况说明</w:t>
      </w:r>
    </w:p>
    <w:p w14:paraId="7D15151B">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达古冰川风景名胜区管理局</w:t>
      </w:r>
      <w:r>
        <w:rPr>
          <w:rFonts w:hint="eastAsia" w:ascii="仿宋_GB2312" w:hAnsi="仿宋_GB2312" w:eastAsia="仿宋_GB2312" w:cs="仿宋_GB2312"/>
          <w:color w:val="auto"/>
          <w:sz w:val="32"/>
          <w:szCs w:val="32"/>
          <w:lang w:eastAsia="zh-CN"/>
        </w:rPr>
        <w:t>2025年财政拨款收支总预算</w:t>
      </w:r>
      <w:r>
        <w:rPr>
          <w:rFonts w:hint="eastAsia" w:ascii="仿宋_GB2312" w:hAnsi="仿宋_GB2312" w:eastAsia="仿宋_GB2312" w:cs="仿宋_GB2312"/>
          <w:color w:val="auto"/>
          <w:sz w:val="32"/>
          <w:szCs w:val="32"/>
          <w:lang w:val="en-US" w:eastAsia="zh-CN"/>
        </w:rPr>
        <w:t>3535.69</w:t>
      </w:r>
      <w:r>
        <w:rPr>
          <w:rFonts w:hint="eastAsia" w:ascii="仿宋_GB2312" w:hAnsi="仿宋_GB2312" w:eastAsia="仿宋_GB2312" w:cs="仿宋_GB2312"/>
          <w:color w:val="auto"/>
          <w:sz w:val="32"/>
          <w:szCs w:val="32"/>
          <w:lang w:eastAsia="zh-CN"/>
        </w:rPr>
        <w:t>万元,比2024年财政拨款收支总预算减少</w:t>
      </w:r>
      <w:r>
        <w:rPr>
          <w:rFonts w:hint="eastAsia" w:ascii="仿宋_GB2312" w:hAnsi="仿宋_GB2312" w:eastAsia="仿宋_GB2312" w:cs="仿宋_GB2312"/>
          <w:color w:val="auto"/>
          <w:sz w:val="32"/>
          <w:szCs w:val="32"/>
          <w:lang w:val="en-US" w:eastAsia="zh-CN"/>
        </w:rPr>
        <w:t>215.01</w:t>
      </w:r>
      <w:r>
        <w:rPr>
          <w:rFonts w:hint="eastAsia" w:ascii="仿宋_GB2312" w:hAnsi="仿宋_GB2312" w:eastAsia="仿宋_GB2312" w:cs="仿宋_GB2312"/>
          <w:color w:val="auto"/>
          <w:sz w:val="32"/>
          <w:szCs w:val="32"/>
          <w:lang w:eastAsia="zh-CN"/>
        </w:rPr>
        <w:t>万元，主要原因:</w:t>
      </w:r>
      <w:r>
        <w:rPr>
          <w:rFonts w:hint="eastAsia" w:ascii="仿宋_GB2312" w:hAnsi="仿宋_GB2312" w:eastAsia="仿宋_GB2312" w:cs="仿宋_GB2312"/>
          <w:color w:val="auto"/>
          <w:sz w:val="32"/>
          <w:szCs w:val="32"/>
          <w:lang w:val="en-US" w:eastAsia="zh-CN"/>
        </w:rPr>
        <w:t>2025年宣传营销费、门票成本费和网络平台维护费等没有纳入当年预算。</w:t>
      </w:r>
    </w:p>
    <w:p w14:paraId="7CD85705">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收入包括：本年一般公共预算拨款收入</w:t>
      </w:r>
      <w:r>
        <w:rPr>
          <w:rFonts w:hint="eastAsia" w:ascii="仿宋_GB2312" w:hAnsi="仿宋_GB2312" w:eastAsia="仿宋_GB2312" w:cs="仿宋_GB2312"/>
          <w:color w:val="auto"/>
          <w:sz w:val="32"/>
          <w:szCs w:val="32"/>
          <w:lang w:val="en-US" w:eastAsia="zh-CN"/>
        </w:rPr>
        <w:t>3535.69</w:t>
      </w:r>
      <w:r>
        <w:rPr>
          <w:rFonts w:hint="eastAsia" w:ascii="仿宋_GB2312" w:hAnsi="仿宋_GB2312" w:eastAsia="仿宋_GB2312" w:cs="仿宋_GB2312"/>
          <w:color w:val="auto"/>
          <w:sz w:val="32"/>
          <w:szCs w:val="32"/>
          <w:lang w:eastAsia="zh-CN"/>
        </w:rPr>
        <w:t>万元。</w:t>
      </w:r>
    </w:p>
    <w:p w14:paraId="7C813A45">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支出包括：文化旅游体育与传媒支出</w:t>
      </w:r>
      <w:r>
        <w:rPr>
          <w:rFonts w:hint="eastAsia" w:ascii="仿宋_GB2312" w:hAnsi="仿宋_GB2312" w:eastAsia="仿宋_GB2312" w:cs="仿宋_GB2312"/>
          <w:color w:val="auto"/>
          <w:sz w:val="32"/>
          <w:szCs w:val="32"/>
          <w:lang w:val="en-US" w:eastAsia="zh-CN"/>
        </w:rPr>
        <w:t>2918.30万元，社会保障和就业支出303.53万元，卫生健康支出129.44万元，住房保障支出184.42万元。</w:t>
      </w:r>
    </w:p>
    <w:p w14:paraId="6B7E9CE1">
      <w:pPr>
        <w:ind w:firstLine="640" w:firstLineChars="200"/>
        <w:rPr>
          <w:rFonts w:ascii="黑体" w:eastAsia="黑体"/>
          <w:color w:val="auto"/>
          <w:sz w:val="32"/>
          <w:szCs w:val="32"/>
        </w:rPr>
      </w:pPr>
      <w:r>
        <w:rPr>
          <w:rFonts w:hint="eastAsia" w:ascii="黑体" w:eastAsia="黑体"/>
          <w:color w:val="auto"/>
          <w:sz w:val="32"/>
          <w:szCs w:val="32"/>
        </w:rPr>
        <w:t>五、一般公共预算当年拨款情况说明</w:t>
      </w:r>
    </w:p>
    <w:p w14:paraId="444BDA5E">
      <w:pPr>
        <w:pStyle w:val="11"/>
        <w:spacing w:before="0" w:line="360" w:lineRule="auto"/>
        <w:ind w:firstLine="660"/>
        <w:rPr>
          <w:rFonts w:ascii="楷体" w:eastAsia="楷体" w:cs="仿宋_GB2312"/>
          <w:color w:val="auto"/>
          <w:kern w:val="2"/>
          <w:sz w:val="32"/>
          <w:szCs w:val="32"/>
        </w:rPr>
      </w:pPr>
      <w:r>
        <w:rPr>
          <w:rFonts w:hint="eastAsia" w:ascii="楷体" w:eastAsia="楷体" w:cs="仿宋_GB2312"/>
          <w:color w:val="auto"/>
          <w:kern w:val="2"/>
          <w:sz w:val="32"/>
          <w:szCs w:val="32"/>
        </w:rPr>
        <w:t>（一）一般公共预算当年拨款规模变化情况</w:t>
      </w:r>
    </w:p>
    <w:p w14:paraId="30E00F3D">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达古冰川风景名胜区管理局</w:t>
      </w:r>
      <w:r>
        <w:rPr>
          <w:rFonts w:hint="eastAsia" w:ascii="仿宋_GB2312" w:hAnsi="仿宋_GB2312" w:eastAsia="仿宋_GB2312" w:cs="仿宋_GB2312"/>
          <w:color w:val="auto"/>
          <w:sz w:val="32"/>
          <w:szCs w:val="32"/>
          <w:lang w:eastAsia="zh-CN"/>
        </w:rPr>
        <w:t>2025年一般公共预算当年拨款</w:t>
      </w:r>
      <w:r>
        <w:rPr>
          <w:rFonts w:hint="eastAsia" w:ascii="仿宋_GB2312" w:hAnsi="仿宋_GB2312" w:eastAsia="仿宋_GB2312" w:cs="仿宋_GB2312"/>
          <w:color w:val="auto"/>
          <w:sz w:val="32"/>
          <w:szCs w:val="32"/>
          <w:lang w:val="en-US" w:eastAsia="zh-CN"/>
        </w:rPr>
        <w:t>3535.69</w:t>
      </w:r>
      <w:r>
        <w:rPr>
          <w:rFonts w:hint="eastAsia" w:ascii="仿宋_GB2312" w:hAnsi="仿宋_GB2312" w:eastAsia="仿宋_GB2312" w:cs="仿宋_GB2312"/>
          <w:color w:val="auto"/>
          <w:sz w:val="32"/>
          <w:szCs w:val="32"/>
          <w:lang w:eastAsia="zh-CN"/>
        </w:rPr>
        <w:t>万元，比2024年预算数减少</w:t>
      </w:r>
      <w:r>
        <w:rPr>
          <w:rFonts w:hint="eastAsia" w:ascii="仿宋_GB2312" w:hAnsi="仿宋_GB2312" w:eastAsia="仿宋_GB2312" w:cs="仿宋_GB2312"/>
          <w:color w:val="auto"/>
          <w:sz w:val="32"/>
          <w:szCs w:val="32"/>
          <w:lang w:val="en-US" w:eastAsia="zh-CN"/>
        </w:rPr>
        <w:t>215.01</w:t>
      </w:r>
      <w:r>
        <w:rPr>
          <w:rFonts w:hint="eastAsia" w:ascii="仿宋_GB2312" w:hAnsi="仿宋_GB2312" w:eastAsia="仿宋_GB2312" w:cs="仿宋_GB2312"/>
          <w:color w:val="auto"/>
          <w:sz w:val="32"/>
          <w:szCs w:val="32"/>
          <w:lang w:eastAsia="zh-CN"/>
        </w:rPr>
        <w:t>万元，主要原因:</w:t>
      </w:r>
      <w:r>
        <w:rPr>
          <w:rFonts w:hint="eastAsia" w:ascii="仿宋_GB2312" w:hAnsi="仿宋_GB2312" w:eastAsia="仿宋_GB2312" w:cs="仿宋_GB2312"/>
          <w:color w:val="auto"/>
          <w:sz w:val="32"/>
          <w:szCs w:val="32"/>
          <w:lang w:val="en-US" w:eastAsia="zh-CN"/>
        </w:rPr>
        <w:t>2025年宣传营销费、门票成本费和网络平台维护费等没有纳入当年预算。</w:t>
      </w:r>
      <w:r>
        <w:rPr>
          <w:rFonts w:hint="eastAsia" w:ascii="仿宋_GB2312" w:hAnsi="仿宋_GB2312" w:eastAsia="仿宋_GB2312" w:cs="仿宋_GB2312"/>
          <w:color w:val="auto"/>
          <w:sz w:val="32"/>
          <w:szCs w:val="32"/>
          <w:lang w:eastAsia="zh-CN"/>
        </w:rPr>
        <w:t>　　</w:t>
      </w:r>
    </w:p>
    <w:p w14:paraId="35AB960A">
      <w:pPr>
        <w:numPr>
          <w:ilvl w:val="0"/>
          <w:numId w:val="0"/>
        </w:numPr>
        <w:spacing w:line="540" w:lineRule="exact"/>
        <w:ind w:left="640" w:leftChars="0"/>
        <w:rPr>
          <w:rFonts w:hint="eastAsia" w:ascii="楷体" w:eastAsia="楷体" w:cs="宋体"/>
          <w:color w:val="auto"/>
          <w:sz w:val="32"/>
          <w:szCs w:val="32"/>
        </w:rPr>
      </w:pPr>
      <w:r>
        <w:rPr>
          <w:rFonts w:hint="eastAsia" w:ascii="楷体" w:eastAsia="楷体" w:cs="宋体"/>
          <w:color w:val="auto"/>
          <w:sz w:val="32"/>
          <w:szCs w:val="32"/>
          <w:lang w:val="en-US" w:eastAsia="zh-CN"/>
        </w:rPr>
        <w:t>（二）</w:t>
      </w:r>
      <w:r>
        <w:rPr>
          <w:rFonts w:hint="eastAsia" w:ascii="楷体" w:eastAsia="楷体" w:cs="宋体"/>
          <w:color w:val="auto"/>
          <w:sz w:val="32"/>
          <w:szCs w:val="32"/>
        </w:rPr>
        <w:t>一般公共预算当年拨款结构情况</w:t>
      </w:r>
    </w:p>
    <w:p w14:paraId="2F2A90D7">
      <w:pPr>
        <w:numPr>
          <w:ilvl w:val="0"/>
          <w:numId w:val="0"/>
        </w:numPr>
        <w:spacing w:line="540" w:lineRule="exact"/>
        <w:ind w:firstLine="640" w:firstLineChars="200"/>
        <w:rPr>
          <w:rFonts w:cs="仿宋_GB2312"/>
          <w:color w:val="auto"/>
          <w:kern w:val="2"/>
          <w:sz w:val="32"/>
          <w:szCs w:val="32"/>
        </w:rPr>
      </w:pPr>
      <w:r>
        <w:rPr>
          <w:rFonts w:hint="eastAsia" w:ascii="仿宋_GB2312" w:hAnsi="仿宋_GB2312" w:eastAsia="仿宋_GB2312" w:cs="仿宋_GB2312"/>
          <w:color w:val="auto"/>
          <w:sz w:val="32"/>
          <w:szCs w:val="32"/>
          <w:highlight w:val="none"/>
          <w:lang w:eastAsia="zh-CN"/>
        </w:rPr>
        <w:t>文化旅游体育与传媒支出</w:t>
      </w:r>
      <w:r>
        <w:rPr>
          <w:rFonts w:hint="eastAsia" w:ascii="仿宋_GB2312" w:hAnsi="仿宋_GB2312" w:eastAsia="仿宋_GB2312" w:cs="仿宋_GB2312"/>
          <w:color w:val="auto"/>
          <w:sz w:val="32"/>
          <w:szCs w:val="32"/>
          <w:highlight w:val="none"/>
          <w:lang w:val="en-US" w:eastAsia="zh-CN"/>
        </w:rPr>
        <w:t>2918.30万元，占82.54%；社会保障和就业支出303.53万元，占8.58%，卫生健康支出129.44万元，占3.66%，住房保障支出184.42万元，占5.22%。</w:t>
      </w:r>
    </w:p>
    <w:p w14:paraId="78C2B209">
      <w:pPr>
        <w:pStyle w:val="11"/>
        <w:spacing w:before="0" w:line="360" w:lineRule="auto"/>
        <w:ind w:firstLine="660"/>
        <w:rPr>
          <w:rFonts w:ascii="楷体" w:eastAsia="楷体" w:cs="仿宋_GB2312"/>
          <w:color w:val="auto"/>
          <w:kern w:val="2"/>
          <w:sz w:val="32"/>
          <w:szCs w:val="32"/>
        </w:rPr>
      </w:pPr>
      <w:r>
        <w:rPr>
          <w:rFonts w:hint="eastAsia" w:ascii="楷体" w:eastAsia="楷体" w:cs="仿宋_GB2312"/>
          <w:color w:val="auto"/>
          <w:kern w:val="2"/>
          <w:sz w:val="32"/>
          <w:szCs w:val="32"/>
        </w:rPr>
        <w:t>（三）一般公共预算当年拨款具体使用情况</w:t>
      </w:r>
    </w:p>
    <w:p w14:paraId="35C111B5">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.2070114文化和旅游管理事务：2025年预算数为2918.30万元，主要用于职工工资福利支出、聘用人员经费、日常公业务费、基本建设项目资金。</w:t>
      </w:r>
    </w:p>
    <w:p w14:paraId="1890ECF1">
      <w:pPr>
        <w:pStyle w:val="11"/>
        <w:keepNext w:val="0"/>
        <w:keepLines w:val="0"/>
        <w:pageBreakBefore w:val="0"/>
        <w:widowControl w:val="0"/>
        <w:kinsoku/>
        <w:wordWrap/>
        <w:overflowPunct/>
        <w:topLinePunct w:val="0"/>
        <w:autoSpaceDE/>
        <w:autoSpaceDN/>
        <w:bidi w:val="0"/>
        <w:adjustRightInd/>
        <w:snapToGrid/>
        <w:spacing w:before="0" w:line="360" w:lineRule="auto"/>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cs="仿宋_GB2312"/>
          <w:color w:val="auto"/>
          <w:sz w:val="32"/>
          <w:szCs w:val="32"/>
          <w:lang w:val="en-US" w:eastAsia="zh-CN"/>
        </w:rPr>
        <w:t>2.</w:t>
      </w:r>
      <w:r>
        <w:rPr>
          <w:rFonts w:hint="eastAsia" w:ascii="仿宋_GB2312" w:hAnsi="仿宋_GB2312" w:eastAsia="仿宋_GB2312" w:cs="仿宋_GB2312"/>
          <w:color w:val="auto"/>
          <w:sz w:val="32"/>
          <w:szCs w:val="32"/>
          <w:lang w:val="en-US" w:eastAsia="zh-CN"/>
        </w:rPr>
        <w:t>2080505机关事业单位基本养老保险缴费支出</w:t>
      </w:r>
      <w:r>
        <w:rPr>
          <w:rFonts w:hint="eastAsia" w:ascii="仿宋_GB2312" w:hAnsi="仿宋_GB2312" w:eastAsia="仿宋_GB2312" w:cs="仿宋_GB2312"/>
          <w:color w:val="auto"/>
          <w:sz w:val="32"/>
          <w:szCs w:val="32"/>
          <w:lang w:eastAsia="zh-CN"/>
        </w:rPr>
        <w:t>：</w:t>
      </w:r>
      <w:r>
        <w:rPr>
          <w:rFonts w:hint="eastAsia" w:cs="仿宋_GB2312"/>
          <w:color w:val="auto"/>
          <w:sz w:val="32"/>
          <w:szCs w:val="32"/>
          <w:lang w:val="en-US" w:eastAsia="zh-CN"/>
        </w:rPr>
        <w:t>2025</w:t>
      </w:r>
      <w:r>
        <w:rPr>
          <w:rFonts w:hint="eastAsia" w:ascii="仿宋_GB2312" w:hAnsi="仿宋_GB2312" w:eastAsia="仿宋_GB2312" w:cs="仿宋_GB2312"/>
          <w:color w:val="auto"/>
          <w:sz w:val="32"/>
          <w:szCs w:val="32"/>
          <w:lang w:val="en-US" w:eastAsia="zh-CN"/>
        </w:rPr>
        <w:t>年预算数为</w:t>
      </w:r>
      <w:r>
        <w:rPr>
          <w:rFonts w:hint="eastAsia" w:cs="仿宋_GB2312"/>
          <w:color w:val="auto"/>
          <w:sz w:val="32"/>
          <w:szCs w:val="32"/>
          <w:lang w:val="en-US" w:eastAsia="zh-CN"/>
        </w:rPr>
        <w:t>202.35</w:t>
      </w:r>
      <w:r>
        <w:rPr>
          <w:rFonts w:hint="eastAsia" w:ascii="仿宋_GB2312" w:hAnsi="仿宋_GB2312" w:eastAsia="仿宋_GB2312" w:cs="仿宋_GB2312"/>
          <w:color w:val="auto"/>
          <w:sz w:val="32"/>
          <w:szCs w:val="32"/>
          <w:lang w:val="en-US" w:eastAsia="zh-CN"/>
        </w:rPr>
        <w:t>万元，主要用于职工基本养老保险费。</w:t>
      </w:r>
    </w:p>
    <w:p w14:paraId="475E0AB8">
      <w:pPr>
        <w:pStyle w:val="11"/>
        <w:keepNext w:val="0"/>
        <w:keepLines w:val="0"/>
        <w:pageBreakBefore w:val="0"/>
        <w:widowControl w:val="0"/>
        <w:kinsoku/>
        <w:wordWrap/>
        <w:overflowPunct/>
        <w:topLinePunct w:val="0"/>
        <w:autoSpaceDE/>
        <w:autoSpaceDN/>
        <w:bidi w:val="0"/>
        <w:adjustRightInd/>
        <w:snapToGrid/>
        <w:spacing w:before="0" w:line="360" w:lineRule="auto"/>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cs="仿宋_GB2312"/>
          <w:color w:val="auto"/>
          <w:sz w:val="32"/>
          <w:szCs w:val="32"/>
          <w:lang w:val="en-US" w:eastAsia="zh-CN"/>
        </w:rPr>
        <w:t>3.</w:t>
      </w:r>
      <w:r>
        <w:rPr>
          <w:rFonts w:hint="eastAsia" w:ascii="仿宋_GB2312" w:hAnsi="仿宋_GB2312" w:eastAsia="仿宋_GB2312" w:cs="仿宋_GB2312"/>
          <w:color w:val="auto"/>
          <w:sz w:val="32"/>
          <w:szCs w:val="32"/>
          <w:lang w:val="en-US" w:eastAsia="zh-CN"/>
        </w:rPr>
        <w:t>2080506机关事业单位职业年金缴费支出：</w:t>
      </w:r>
      <w:r>
        <w:rPr>
          <w:rFonts w:hint="eastAsia" w:cs="仿宋_GB2312"/>
          <w:color w:val="auto"/>
          <w:sz w:val="32"/>
          <w:szCs w:val="32"/>
          <w:lang w:val="en-US" w:eastAsia="zh-CN"/>
        </w:rPr>
        <w:t>2025</w:t>
      </w:r>
      <w:r>
        <w:rPr>
          <w:rFonts w:hint="eastAsia" w:ascii="仿宋_GB2312" w:hAnsi="仿宋_GB2312" w:eastAsia="仿宋_GB2312" w:cs="仿宋_GB2312"/>
          <w:color w:val="auto"/>
          <w:sz w:val="32"/>
          <w:szCs w:val="32"/>
          <w:lang w:val="en-US" w:eastAsia="zh-CN"/>
        </w:rPr>
        <w:t>年预算数为</w:t>
      </w:r>
      <w:r>
        <w:rPr>
          <w:rFonts w:hint="eastAsia" w:cs="仿宋_GB2312"/>
          <w:color w:val="auto"/>
          <w:sz w:val="32"/>
          <w:szCs w:val="32"/>
          <w:lang w:val="en-US" w:eastAsia="zh-CN"/>
        </w:rPr>
        <w:t>101.18</w:t>
      </w:r>
      <w:r>
        <w:rPr>
          <w:rFonts w:hint="eastAsia" w:ascii="仿宋_GB2312" w:hAnsi="仿宋_GB2312" w:eastAsia="仿宋_GB2312" w:cs="仿宋_GB2312"/>
          <w:color w:val="auto"/>
          <w:sz w:val="32"/>
          <w:szCs w:val="32"/>
          <w:lang w:val="en-US" w:eastAsia="zh-CN"/>
        </w:rPr>
        <w:t>万元，主要用于职工职业年金缴费。</w:t>
      </w:r>
    </w:p>
    <w:p w14:paraId="0FA3F219">
      <w:pPr>
        <w:pStyle w:val="11"/>
        <w:keepNext w:val="0"/>
        <w:keepLines w:val="0"/>
        <w:pageBreakBefore w:val="0"/>
        <w:widowControl w:val="0"/>
        <w:kinsoku/>
        <w:wordWrap/>
        <w:overflowPunct/>
        <w:topLinePunct w:val="0"/>
        <w:autoSpaceDE/>
        <w:autoSpaceDN/>
        <w:bidi w:val="0"/>
        <w:adjustRightInd/>
        <w:snapToGrid/>
        <w:spacing w:before="0" w:line="360" w:lineRule="auto"/>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cs="仿宋_GB2312"/>
          <w:color w:val="auto"/>
          <w:sz w:val="32"/>
          <w:szCs w:val="32"/>
          <w:lang w:val="en-US" w:eastAsia="zh-CN"/>
        </w:rPr>
        <w:t>4.</w:t>
      </w:r>
      <w:r>
        <w:rPr>
          <w:rFonts w:hint="eastAsia" w:ascii="仿宋_GB2312" w:hAnsi="仿宋_GB2312" w:eastAsia="仿宋_GB2312" w:cs="仿宋_GB2312"/>
          <w:color w:val="auto"/>
          <w:sz w:val="32"/>
          <w:szCs w:val="32"/>
          <w:lang w:val="en-US" w:eastAsia="zh-CN"/>
        </w:rPr>
        <w:t>2101102事业单位医疗：</w:t>
      </w:r>
      <w:r>
        <w:rPr>
          <w:rFonts w:hint="eastAsia" w:cs="仿宋_GB2312"/>
          <w:color w:val="auto"/>
          <w:sz w:val="32"/>
          <w:szCs w:val="32"/>
          <w:lang w:val="en-US" w:eastAsia="zh-CN"/>
        </w:rPr>
        <w:t>2025</w:t>
      </w:r>
      <w:r>
        <w:rPr>
          <w:rFonts w:hint="eastAsia" w:ascii="仿宋_GB2312" w:hAnsi="仿宋_GB2312" w:eastAsia="仿宋_GB2312" w:cs="仿宋_GB2312"/>
          <w:color w:val="auto"/>
          <w:sz w:val="32"/>
          <w:szCs w:val="32"/>
          <w:lang w:val="en-US" w:eastAsia="zh-CN"/>
        </w:rPr>
        <w:t>年预算数为</w:t>
      </w:r>
      <w:r>
        <w:rPr>
          <w:rFonts w:hint="eastAsia" w:cs="仿宋_GB2312"/>
          <w:color w:val="auto"/>
          <w:sz w:val="32"/>
          <w:szCs w:val="32"/>
          <w:lang w:val="en-US" w:eastAsia="zh-CN"/>
        </w:rPr>
        <w:t>109.53</w:t>
      </w:r>
      <w:r>
        <w:rPr>
          <w:rFonts w:hint="eastAsia" w:ascii="仿宋_GB2312" w:hAnsi="仿宋_GB2312" w:eastAsia="仿宋_GB2312" w:cs="仿宋_GB2312"/>
          <w:color w:val="auto"/>
          <w:sz w:val="32"/>
          <w:szCs w:val="32"/>
          <w:lang w:val="en-US" w:eastAsia="zh-CN"/>
        </w:rPr>
        <w:t>万元，主要用于职工医疗保险费。</w:t>
      </w:r>
    </w:p>
    <w:p w14:paraId="3279CCF6">
      <w:pPr>
        <w:pStyle w:val="11"/>
        <w:keepNext w:val="0"/>
        <w:keepLines w:val="0"/>
        <w:pageBreakBefore w:val="0"/>
        <w:widowControl w:val="0"/>
        <w:kinsoku/>
        <w:wordWrap/>
        <w:overflowPunct/>
        <w:topLinePunct w:val="0"/>
        <w:autoSpaceDE/>
        <w:autoSpaceDN/>
        <w:bidi w:val="0"/>
        <w:adjustRightInd/>
        <w:snapToGrid/>
        <w:spacing w:before="0" w:line="360" w:lineRule="auto"/>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cs="仿宋_GB2312"/>
          <w:color w:val="auto"/>
          <w:sz w:val="32"/>
          <w:szCs w:val="32"/>
          <w:lang w:val="en-US" w:eastAsia="zh-CN"/>
        </w:rPr>
        <w:t>5.</w:t>
      </w:r>
      <w:r>
        <w:rPr>
          <w:rFonts w:hint="eastAsia" w:ascii="仿宋_GB2312" w:hAnsi="仿宋_GB2312" w:eastAsia="仿宋_GB2312" w:cs="仿宋_GB2312"/>
          <w:color w:val="auto"/>
          <w:sz w:val="32"/>
          <w:szCs w:val="32"/>
          <w:lang w:val="en-US" w:eastAsia="zh-CN"/>
        </w:rPr>
        <w:t>2101199其他行政事业单位医疗支出：</w:t>
      </w:r>
      <w:r>
        <w:rPr>
          <w:rFonts w:hint="eastAsia" w:cs="仿宋_GB2312"/>
          <w:color w:val="auto"/>
          <w:sz w:val="32"/>
          <w:szCs w:val="32"/>
          <w:lang w:val="en-US" w:eastAsia="zh-CN"/>
        </w:rPr>
        <w:t>2025</w:t>
      </w:r>
      <w:r>
        <w:rPr>
          <w:rFonts w:hint="eastAsia" w:ascii="仿宋_GB2312" w:hAnsi="仿宋_GB2312" w:eastAsia="仿宋_GB2312" w:cs="仿宋_GB2312"/>
          <w:color w:val="auto"/>
          <w:sz w:val="32"/>
          <w:szCs w:val="32"/>
          <w:lang w:val="en-US" w:eastAsia="zh-CN"/>
        </w:rPr>
        <w:t>年预算数为</w:t>
      </w:r>
      <w:r>
        <w:rPr>
          <w:rFonts w:hint="eastAsia" w:cs="仿宋_GB2312"/>
          <w:color w:val="auto"/>
          <w:sz w:val="32"/>
          <w:szCs w:val="32"/>
          <w:lang w:val="en-US" w:eastAsia="zh-CN"/>
        </w:rPr>
        <w:t>19.91</w:t>
      </w:r>
      <w:r>
        <w:rPr>
          <w:rFonts w:hint="eastAsia" w:ascii="仿宋_GB2312" w:hAnsi="仿宋_GB2312" w:eastAsia="仿宋_GB2312" w:cs="仿宋_GB2312"/>
          <w:color w:val="auto"/>
          <w:sz w:val="32"/>
          <w:szCs w:val="32"/>
          <w:lang w:val="en-US" w:eastAsia="zh-CN"/>
        </w:rPr>
        <w:t>万元，主要用于公务员医疗补助缴费。</w:t>
      </w:r>
    </w:p>
    <w:p w14:paraId="5E6445BD">
      <w:pPr>
        <w:pStyle w:val="11"/>
        <w:keepNext w:val="0"/>
        <w:keepLines w:val="0"/>
        <w:pageBreakBefore w:val="0"/>
        <w:widowControl w:val="0"/>
        <w:kinsoku/>
        <w:wordWrap/>
        <w:overflowPunct/>
        <w:topLinePunct w:val="0"/>
        <w:autoSpaceDE/>
        <w:autoSpaceDN/>
        <w:bidi w:val="0"/>
        <w:adjustRightInd/>
        <w:snapToGrid/>
        <w:spacing w:before="0" w:line="360" w:lineRule="auto"/>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cs="仿宋_GB2312"/>
          <w:color w:val="auto"/>
          <w:sz w:val="32"/>
          <w:szCs w:val="32"/>
          <w:lang w:val="en-US" w:eastAsia="zh-CN"/>
        </w:rPr>
        <w:t>6.</w:t>
      </w:r>
      <w:r>
        <w:rPr>
          <w:rFonts w:hint="eastAsia" w:ascii="仿宋_GB2312" w:hAnsi="仿宋_GB2312" w:eastAsia="仿宋_GB2312" w:cs="仿宋_GB2312"/>
          <w:color w:val="auto"/>
          <w:sz w:val="32"/>
          <w:szCs w:val="32"/>
          <w:lang w:val="en-US" w:eastAsia="zh-CN"/>
        </w:rPr>
        <w:t>2210201住房公积金：</w:t>
      </w:r>
      <w:r>
        <w:rPr>
          <w:rFonts w:hint="eastAsia" w:cs="仿宋_GB2312"/>
          <w:color w:val="auto"/>
          <w:sz w:val="32"/>
          <w:szCs w:val="32"/>
          <w:lang w:val="en-US" w:eastAsia="zh-CN"/>
        </w:rPr>
        <w:t>2025</w:t>
      </w:r>
      <w:r>
        <w:rPr>
          <w:rFonts w:hint="eastAsia" w:ascii="仿宋_GB2312" w:hAnsi="仿宋_GB2312" w:eastAsia="仿宋_GB2312" w:cs="仿宋_GB2312"/>
          <w:color w:val="auto"/>
          <w:sz w:val="32"/>
          <w:szCs w:val="32"/>
          <w:lang w:val="en-US" w:eastAsia="zh-CN"/>
        </w:rPr>
        <w:t>年预算数为</w:t>
      </w:r>
      <w:r>
        <w:rPr>
          <w:rFonts w:hint="eastAsia" w:cs="仿宋_GB2312"/>
          <w:color w:val="auto"/>
          <w:sz w:val="32"/>
          <w:szCs w:val="32"/>
          <w:lang w:val="en-US" w:eastAsia="zh-CN"/>
        </w:rPr>
        <w:t>184.42</w:t>
      </w:r>
      <w:r>
        <w:rPr>
          <w:rFonts w:hint="eastAsia" w:ascii="仿宋_GB2312" w:hAnsi="仿宋_GB2312" w:eastAsia="仿宋_GB2312" w:cs="仿宋_GB2312"/>
          <w:color w:val="auto"/>
          <w:sz w:val="32"/>
          <w:szCs w:val="32"/>
          <w:lang w:val="en-US" w:eastAsia="zh-CN"/>
        </w:rPr>
        <w:t>万元，主要用于职工住房公积金的缴纳。</w:t>
      </w:r>
    </w:p>
    <w:p w14:paraId="2F430BCF">
      <w:pPr>
        <w:pStyle w:val="11"/>
        <w:spacing w:before="0" w:line="360" w:lineRule="auto"/>
        <w:ind w:firstLine="660"/>
        <w:rPr>
          <w:rFonts w:ascii="黑体" w:eastAsia="黑体"/>
          <w:color w:val="auto"/>
          <w:sz w:val="32"/>
          <w:szCs w:val="32"/>
        </w:rPr>
      </w:pPr>
      <w:r>
        <w:rPr>
          <w:rFonts w:hint="eastAsia" w:ascii="黑体" w:eastAsia="黑体"/>
          <w:color w:val="auto"/>
          <w:sz w:val="32"/>
          <w:szCs w:val="32"/>
        </w:rPr>
        <w:t>六、一般公共预算基本支出情况说明</w:t>
      </w:r>
    </w:p>
    <w:p w14:paraId="5C7CE871">
      <w:pPr>
        <w:pStyle w:val="11"/>
        <w:spacing w:before="0" w:line="360" w:lineRule="auto"/>
        <w:ind w:firstLine="640" w:firstLineChars="200"/>
        <w:rPr>
          <w:rFonts w:cs="仿宋_GB2312"/>
          <w:color w:val="auto"/>
          <w:kern w:val="2"/>
          <w:sz w:val="32"/>
          <w:szCs w:val="32"/>
        </w:rPr>
      </w:pPr>
      <w:r>
        <w:rPr>
          <w:rFonts w:hint="eastAsia" w:cs="仿宋_GB2312"/>
          <w:color w:val="auto"/>
          <w:kern w:val="2"/>
          <w:sz w:val="32"/>
          <w:szCs w:val="32"/>
          <w:lang w:val="en-US" w:eastAsia="zh-CN"/>
        </w:rPr>
        <w:t>达古冰川风景名胜区管理局</w:t>
      </w:r>
      <w:r>
        <w:rPr>
          <w:rFonts w:hint="eastAsia" w:cs="仿宋_GB2312"/>
          <w:color w:val="auto"/>
          <w:kern w:val="2"/>
          <w:sz w:val="32"/>
          <w:szCs w:val="32"/>
        </w:rPr>
        <w:t>2025年一般公共预算基本支出</w:t>
      </w:r>
      <w:r>
        <w:rPr>
          <w:rFonts w:hint="eastAsia" w:cs="仿宋_GB2312"/>
          <w:color w:val="auto"/>
          <w:kern w:val="2"/>
          <w:sz w:val="32"/>
          <w:szCs w:val="32"/>
          <w:lang w:val="en-US" w:eastAsia="zh-CN"/>
        </w:rPr>
        <w:t>2578.69</w:t>
      </w:r>
      <w:r>
        <w:rPr>
          <w:rFonts w:hint="eastAsia" w:cs="仿宋_GB2312"/>
          <w:color w:val="auto"/>
          <w:kern w:val="2"/>
          <w:sz w:val="32"/>
          <w:szCs w:val="32"/>
        </w:rPr>
        <w:t>万元，其中：人员经费</w:t>
      </w:r>
      <w:r>
        <w:rPr>
          <w:rFonts w:hint="eastAsia" w:cs="仿宋_GB2312"/>
          <w:color w:val="auto"/>
          <w:kern w:val="2"/>
          <w:sz w:val="32"/>
          <w:szCs w:val="32"/>
          <w:lang w:val="en-US" w:eastAsia="zh-CN"/>
        </w:rPr>
        <w:t>2188.74</w:t>
      </w:r>
      <w:r>
        <w:rPr>
          <w:rFonts w:hint="eastAsia" w:cs="仿宋_GB2312"/>
          <w:color w:val="auto"/>
          <w:kern w:val="2"/>
          <w:sz w:val="32"/>
          <w:szCs w:val="32"/>
        </w:rPr>
        <w:t>万元，主要包括：基本工资</w:t>
      </w:r>
      <w:r>
        <w:rPr>
          <w:rFonts w:hint="eastAsia" w:cs="仿宋_GB2312"/>
          <w:color w:val="auto"/>
          <w:kern w:val="2"/>
          <w:sz w:val="32"/>
          <w:szCs w:val="32"/>
          <w:lang w:val="en-US" w:eastAsia="zh-CN"/>
        </w:rPr>
        <w:t>334.87万元</w:t>
      </w:r>
      <w:r>
        <w:rPr>
          <w:rFonts w:hint="eastAsia" w:cs="仿宋_GB2312"/>
          <w:color w:val="auto"/>
          <w:kern w:val="2"/>
          <w:sz w:val="32"/>
          <w:szCs w:val="32"/>
        </w:rPr>
        <w:t>、津贴补贴</w:t>
      </w:r>
      <w:r>
        <w:rPr>
          <w:rFonts w:hint="eastAsia" w:cs="仿宋_GB2312"/>
          <w:color w:val="auto"/>
          <w:kern w:val="2"/>
          <w:sz w:val="32"/>
          <w:szCs w:val="32"/>
          <w:lang w:val="en-US" w:eastAsia="zh-CN"/>
        </w:rPr>
        <w:t>169.50万元</w:t>
      </w:r>
      <w:r>
        <w:rPr>
          <w:rFonts w:hint="eastAsia" w:cs="仿宋_GB2312"/>
          <w:color w:val="auto"/>
          <w:kern w:val="2"/>
          <w:sz w:val="32"/>
          <w:szCs w:val="32"/>
        </w:rPr>
        <w:t>、</w:t>
      </w:r>
      <w:r>
        <w:rPr>
          <w:rFonts w:hint="eastAsia" w:cs="仿宋_GB2312"/>
          <w:color w:val="auto"/>
          <w:kern w:val="2"/>
          <w:sz w:val="32"/>
          <w:szCs w:val="32"/>
          <w:lang w:eastAsia="zh-CN"/>
        </w:rPr>
        <w:t>绩效</w:t>
      </w:r>
      <w:r>
        <w:rPr>
          <w:rFonts w:hint="eastAsia" w:cs="仿宋_GB2312"/>
          <w:color w:val="auto"/>
          <w:kern w:val="2"/>
          <w:sz w:val="32"/>
          <w:szCs w:val="32"/>
        </w:rPr>
        <w:t>奖金</w:t>
      </w:r>
      <w:r>
        <w:rPr>
          <w:rFonts w:hint="eastAsia" w:cs="仿宋_GB2312"/>
          <w:color w:val="auto"/>
          <w:kern w:val="2"/>
          <w:sz w:val="32"/>
          <w:szCs w:val="32"/>
          <w:lang w:val="en-US" w:eastAsia="zh-CN"/>
        </w:rPr>
        <w:t>427.09万元</w:t>
      </w:r>
      <w:r>
        <w:rPr>
          <w:rFonts w:hint="eastAsia" w:cs="仿宋_GB2312"/>
          <w:color w:val="auto"/>
          <w:kern w:val="2"/>
          <w:sz w:val="32"/>
          <w:szCs w:val="32"/>
        </w:rPr>
        <w:t>、绩效工资</w:t>
      </w:r>
      <w:r>
        <w:rPr>
          <w:rFonts w:hint="eastAsia" w:cs="仿宋_GB2312"/>
          <w:color w:val="auto"/>
          <w:kern w:val="2"/>
          <w:sz w:val="32"/>
          <w:szCs w:val="32"/>
          <w:lang w:val="en-US" w:eastAsia="zh-CN"/>
        </w:rPr>
        <w:t>308.71万元</w:t>
      </w:r>
      <w:r>
        <w:rPr>
          <w:rFonts w:hint="eastAsia" w:cs="仿宋_GB2312"/>
          <w:color w:val="auto"/>
          <w:kern w:val="2"/>
          <w:sz w:val="32"/>
          <w:szCs w:val="32"/>
        </w:rPr>
        <w:t>、机关事业单位基本养老保险缴费</w:t>
      </w:r>
      <w:r>
        <w:rPr>
          <w:rFonts w:hint="eastAsia" w:cs="仿宋_GB2312"/>
          <w:color w:val="auto"/>
          <w:kern w:val="2"/>
          <w:sz w:val="32"/>
          <w:szCs w:val="32"/>
          <w:lang w:val="en-US" w:eastAsia="zh-CN"/>
        </w:rPr>
        <w:t>202.35万元</w:t>
      </w:r>
      <w:r>
        <w:rPr>
          <w:rFonts w:hint="eastAsia" w:cs="仿宋_GB2312"/>
          <w:color w:val="auto"/>
          <w:kern w:val="2"/>
          <w:sz w:val="32"/>
          <w:szCs w:val="32"/>
        </w:rPr>
        <w:t>、职业年金缴费</w:t>
      </w:r>
      <w:r>
        <w:rPr>
          <w:rFonts w:hint="eastAsia" w:cs="仿宋_GB2312"/>
          <w:color w:val="auto"/>
          <w:kern w:val="2"/>
          <w:sz w:val="32"/>
          <w:szCs w:val="32"/>
          <w:lang w:val="en-US" w:eastAsia="zh-CN"/>
        </w:rPr>
        <w:t>101.18万元</w:t>
      </w:r>
      <w:r>
        <w:rPr>
          <w:rFonts w:hint="eastAsia" w:cs="仿宋_GB2312"/>
          <w:color w:val="auto"/>
          <w:kern w:val="2"/>
          <w:sz w:val="32"/>
          <w:szCs w:val="32"/>
        </w:rPr>
        <w:t>、</w:t>
      </w:r>
      <w:r>
        <w:rPr>
          <w:rFonts w:hint="eastAsia" w:cs="仿宋_GB2312"/>
          <w:color w:val="auto"/>
          <w:kern w:val="2"/>
          <w:sz w:val="32"/>
          <w:szCs w:val="32"/>
          <w:lang w:val="en-US" w:eastAsia="zh-CN"/>
        </w:rPr>
        <w:t>职工基本医疗保险缴费109.53万元、其他社会保障支出30.62万元、</w:t>
      </w:r>
      <w:r>
        <w:rPr>
          <w:rFonts w:hint="eastAsia" w:cs="仿宋_GB2312"/>
          <w:color w:val="auto"/>
          <w:kern w:val="2"/>
          <w:sz w:val="32"/>
          <w:szCs w:val="32"/>
        </w:rPr>
        <w:t>其他工资福利支出</w:t>
      </w:r>
      <w:r>
        <w:rPr>
          <w:rFonts w:hint="eastAsia" w:cs="仿宋_GB2312"/>
          <w:color w:val="auto"/>
          <w:kern w:val="2"/>
          <w:sz w:val="32"/>
          <w:szCs w:val="32"/>
          <w:lang w:val="en-US" w:eastAsia="zh-CN"/>
        </w:rPr>
        <w:t>283.11万元</w:t>
      </w:r>
      <w:r>
        <w:rPr>
          <w:rFonts w:hint="eastAsia" w:cs="仿宋_GB2312"/>
          <w:color w:val="auto"/>
          <w:kern w:val="2"/>
          <w:sz w:val="32"/>
          <w:szCs w:val="32"/>
        </w:rPr>
        <w:t>、住房公积金</w:t>
      </w:r>
      <w:r>
        <w:rPr>
          <w:rFonts w:hint="eastAsia" w:cs="仿宋_GB2312"/>
          <w:color w:val="auto"/>
          <w:kern w:val="2"/>
          <w:sz w:val="32"/>
          <w:szCs w:val="32"/>
          <w:lang w:val="en-US" w:eastAsia="zh-CN"/>
        </w:rPr>
        <w:t>184.42万元</w:t>
      </w:r>
      <w:r>
        <w:rPr>
          <w:rFonts w:hint="eastAsia" w:cs="仿宋_GB2312"/>
          <w:color w:val="auto"/>
          <w:kern w:val="2"/>
          <w:sz w:val="32"/>
          <w:szCs w:val="32"/>
        </w:rPr>
        <w:t>、其他对个人和家庭的补助支出</w:t>
      </w:r>
      <w:r>
        <w:rPr>
          <w:rFonts w:hint="eastAsia" w:cs="仿宋_GB2312"/>
          <w:color w:val="auto"/>
          <w:kern w:val="2"/>
          <w:sz w:val="32"/>
          <w:szCs w:val="32"/>
          <w:lang w:val="en-US" w:eastAsia="zh-CN"/>
        </w:rPr>
        <w:t>37.36万元</w:t>
      </w:r>
      <w:r>
        <w:rPr>
          <w:rFonts w:hint="eastAsia" w:cs="仿宋_GB2312"/>
          <w:color w:val="auto"/>
          <w:kern w:val="2"/>
          <w:sz w:val="32"/>
          <w:szCs w:val="32"/>
        </w:rPr>
        <w:t>。</w:t>
      </w:r>
    </w:p>
    <w:p w14:paraId="266C809E">
      <w:pPr>
        <w:pStyle w:val="11"/>
        <w:spacing w:before="0" w:line="360" w:lineRule="auto"/>
        <w:ind w:firstLine="640" w:firstLineChars="200"/>
        <w:rPr>
          <w:rFonts w:hint="default" w:cs="仿宋_GB2312"/>
          <w:color w:val="auto"/>
          <w:kern w:val="2"/>
          <w:sz w:val="32"/>
          <w:szCs w:val="32"/>
          <w:lang w:val="en-US" w:eastAsia="zh-CN"/>
        </w:rPr>
      </w:pPr>
      <w:r>
        <w:rPr>
          <w:rFonts w:hint="eastAsia" w:cs="仿宋_GB2312"/>
          <w:color w:val="auto"/>
          <w:kern w:val="2"/>
          <w:sz w:val="32"/>
          <w:szCs w:val="32"/>
        </w:rPr>
        <w:t>公用经费</w:t>
      </w:r>
      <w:r>
        <w:rPr>
          <w:rFonts w:hint="eastAsia" w:cs="仿宋_GB2312"/>
          <w:color w:val="000000" w:themeColor="text1"/>
          <w:kern w:val="2"/>
          <w:sz w:val="32"/>
          <w:szCs w:val="32"/>
          <w:lang w:val="en-US" w:eastAsia="zh-CN"/>
          <w14:textFill>
            <w14:solidFill>
              <w14:schemeClr w14:val="tx1"/>
            </w14:solidFill>
          </w14:textFill>
        </w:rPr>
        <w:t>389.95</w:t>
      </w:r>
      <w:r>
        <w:rPr>
          <w:rFonts w:hint="eastAsia" w:cs="仿宋_GB2312"/>
          <w:color w:val="auto"/>
          <w:kern w:val="2"/>
          <w:sz w:val="32"/>
          <w:szCs w:val="32"/>
        </w:rPr>
        <w:t>万元，主要包括：办公费</w:t>
      </w:r>
      <w:r>
        <w:rPr>
          <w:rFonts w:hint="eastAsia" w:cs="仿宋_GB2312"/>
          <w:color w:val="auto"/>
          <w:kern w:val="2"/>
          <w:sz w:val="32"/>
          <w:szCs w:val="32"/>
          <w:lang w:val="en-US" w:eastAsia="zh-CN"/>
        </w:rPr>
        <w:t>8.53万元</w:t>
      </w:r>
      <w:r>
        <w:rPr>
          <w:rFonts w:hint="eastAsia" w:cs="仿宋_GB2312"/>
          <w:color w:val="auto"/>
          <w:kern w:val="2"/>
          <w:sz w:val="32"/>
          <w:szCs w:val="32"/>
        </w:rPr>
        <w:t>、水费</w:t>
      </w:r>
      <w:r>
        <w:rPr>
          <w:rFonts w:hint="eastAsia" w:cs="仿宋_GB2312"/>
          <w:color w:val="auto"/>
          <w:kern w:val="2"/>
          <w:sz w:val="32"/>
          <w:szCs w:val="32"/>
          <w:lang w:val="en-US" w:eastAsia="zh-CN"/>
        </w:rPr>
        <w:t>2.56万元</w:t>
      </w:r>
      <w:r>
        <w:rPr>
          <w:rFonts w:hint="eastAsia" w:cs="仿宋_GB2312"/>
          <w:color w:val="auto"/>
          <w:kern w:val="2"/>
          <w:sz w:val="32"/>
          <w:szCs w:val="32"/>
        </w:rPr>
        <w:t>、邮电费</w:t>
      </w:r>
      <w:r>
        <w:rPr>
          <w:rFonts w:hint="eastAsia" w:cs="仿宋_GB2312"/>
          <w:color w:val="auto"/>
          <w:kern w:val="2"/>
          <w:sz w:val="32"/>
          <w:szCs w:val="32"/>
          <w:lang w:val="en-US" w:eastAsia="zh-CN"/>
        </w:rPr>
        <w:t>21.87万元</w:t>
      </w:r>
      <w:r>
        <w:rPr>
          <w:rFonts w:hint="eastAsia" w:cs="仿宋_GB2312"/>
          <w:color w:val="auto"/>
          <w:kern w:val="2"/>
          <w:sz w:val="32"/>
          <w:szCs w:val="32"/>
        </w:rPr>
        <w:t>、</w:t>
      </w:r>
      <w:r>
        <w:rPr>
          <w:rFonts w:hint="eastAsia" w:cs="仿宋_GB2312"/>
          <w:color w:val="auto"/>
          <w:kern w:val="2"/>
          <w:sz w:val="32"/>
          <w:szCs w:val="32"/>
          <w:lang w:val="en-US" w:eastAsia="zh-CN"/>
        </w:rPr>
        <w:t>取暖费3.41万元、差旅费46.93万元、维修（护）费45.68万元、培训费16.70万元、公务接待费6.64万元、福利费56.07万元、体检费14.27万元、公务用车运行维护费129.60万元、党组织活动经费24.74万元、其他商品和服务支出12.95万元。</w:t>
      </w:r>
    </w:p>
    <w:p w14:paraId="75558371">
      <w:pPr>
        <w:pStyle w:val="11"/>
        <w:spacing w:before="0" w:line="360" w:lineRule="auto"/>
        <w:rPr>
          <w:rFonts w:ascii="黑体" w:eastAsia="黑体"/>
          <w:color w:val="auto"/>
          <w:sz w:val="32"/>
          <w:szCs w:val="32"/>
        </w:rPr>
      </w:pPr>
      <w:r>
        <w:rPr>
          <w:rFonts w:hint="eastAsia" w:ascii="黑体" w:eastAsia="黑体"/>
          <w:color w:val="auto"/>
          <w:sz w:val="32"/>
          <w:szCs w:val="32"/>
        </w:rPr>
        <w:t xml:space="preserve">    七、“三公”经费财政拨款预算安排情况说明</w:t>
      </w:r>
    </w:p>
    <w:p w14:paraId="56E53E16">
      <w:pPr>
        <w:pStyle w:val="11"/>
        <w:spacing w:before="0" w:line="360" w:lineRule="auto"/>
        <w:ind w:firstLine="640" w:firstLineChars="200"/>
        <w:rPr>
          <w:rFonts w:cs="仿宋_GB2312"/>
          <w:color w:val="auto"/>
          <w:kern w:val="2"/>
          <w:sz w:val="32"/>
          <w:szCs w:val="32"/>
        </w:rPr>
      </w:pPr>
      <w:r>
        <w:rPr>
          <w:rFonts w:hint="eastAsia" w:cs="仿宋_GB2312"/>
          <w:color w:val="auto"/>
          <w:kern w:val="2"/>
          <w:sz w:val="32"/>
          <w:szCs w:val="32"/>
          <w:lang w:val="en-US" w:eastAsia="zh-CN"/>
        </w:rPr>
        <w:t>达古冰川风景名胜区管理局</w:t>
      </w:r>
      <w:r>
        <w:rPr>
          <w:rFonts w:hint="eastAsia" w:cs="仿宋_GB2312"/>
          <w:color w:val="auto"/>
          <w:kern w:val="2"/>
          <w:sz w:val="32"/>
          <w:szCs w:val="32"/>
        </w:rPr>
        <w:t>2025年“三公”经费财政拨款预算数</w:t>
      </w:r>
      <w:r>
        <w:rPr>
          <w:rFonts w:hint="eastAsia" w:cs="仿宋_GB2312"/>
          <w:color w:val="auto"/>
          <w:kern w:val="2"/>
          <w:sz w:val="32"/>
          <w:szCs w:val="32"/>
          <w:lang w:val="en-US" w:eastAsia="zh-CN"/>
        </w:rPr>
        <w:t>184.24</w:t>
      </w:r>
      <w:r>
        <w:rPr>
          <w:rFonts w:hint="eastAsia" w:cs="仿宋_GB2312"/>
          <w:color w:val="auto"/>
          <w:kern w:val="2"/>
          <w:sz w:val="32"/>
          <w:szCs w:val="32"/>
        </w:rPr>
        <w:t>万元，其中：因公出国（境）经费</w:t>
      </w:r>
      <w:r>
        <w:rPr>
          <w:rFonts w:hint="eastAsia" w:cs="仿宋_GB2312"/>
          <w:color w:val="auto"/>
          <w:kern w:val="2"/>
          <w:sz w:val="32"/>
          <w:szCs w:val="32"/>
          <w:lang w:val="en-US" w:eastAsia="zh-CN"/>
        </w:rPr>
        <w:t>0</w:t>
      </w:r>
      <w:r>
        <w:rPr>
          <w:rFonts w:hint="eastAsia" w:cs="仿宋_GB2312"/>
          <w:color w:val="auto"/>
          <w:kern w:val="2"/>
          <w:sz w:val="32"/>
          <w:szCs w:val="32"/>
        </w:rPr>
        <w:t>万元，公务接待费</w:t>
      </w:r>
      <w:r>
        <w:rPr>
          <w:rFonts w:hint="eastAsia" w:cs="仿宋_GB2312"/>
          <w:color w:val="auto"/>
          <w:kern w:val="2"/>
          <w:sz w:val="32"/>
          <w:szCs w:val="32"/>
          <w:lang w:val="en-US" w:eastAsia="zh-CN"/>
        </w:rPr>
        <w:t>46.64</w:t>
      </w:r>
      <w:r>
        <w:rPr>
          <w:rFonts w:hint="eastAsia" w:cs="仿宋_GB2312"/>
          <w:color w:val="auto"/>
          <w:kern w:val="2"/>
          <w:sz w:val="32"/>
          <w:szCs w:val="32"/>
        </w:rPr>
        <w:t>万元，公务用车购置及运行维护费</w:t>
      </w:r>
      <w:r>
        <w:rPr>
          <w:rFonts w:hint="eastAsia" w:cs="仿宋_GB2312"/>
          <w:color w:val="auto"/>
          <w:kern w:val="2"/>
          <w:sz w:val="32"/>
          <w:szCs w:val="32"/>
          <w:lang w:val="en-US" w:eastAsia="zh-CN"/>
        </w:rPr>
        <w:t>152.60</w:t>
      </w:r>
      <w:r>
        <w:rPr>
          <w:rFonts w:hint="eastAsia" w:cs="仿宋_GB2312"/>
          <w:color w:val="auto"/>
          <w:kern w:val="2"/>
          <w:sz w:val="32"/>
          <w:szCs w:val="32"/>
        </w:rPr>
        <w:t>万元。</w:t>
      </w:r>
    </w:p>
    <w:p w14:paraId="2D8446F0">
      <w:pPr>
        <w:pStyle w:val="11"/>
        <w:spacing w:before="0" w:line="360" w:lineRule="auto"/>
        <w:ind w:firstLine="640" w:firstLineChars="200"/>
        <w:rPr>
          <w:rFonts w:cs="仿宋_GB2312"/>
          <w:color w:val="auto"/>
          <w:kern w:val="2"/>
          <w:sz w:val="32"/>
          <w:szCs w:val="32"/>
        </w:rPr>
      </w:pPr>
      <w:r>
        <w:rPr>
          <w:rFonts w:hint="eastAsia" w:cs="仿宋_GB2312"/>
          <w:color w:val="auto"/>
          <w:kern w:val="2"/>
          <w:sz w:val="32"/>
          <w:szCs w:val="32"/>
        </w:rPr>
        <w:t>（一）2025年因公出国（境）经费</w:t>
      </w:r>
      <w:r>
        <w:rPr>
          <w:rFonts w:hint="eastAsia" w:cs="仿宋_GB2312"/>
          <w:color w:val="auto"/>
          <w:kern w:val="2"/>
          <w:sz w:val="32"/>
          <w:szCs w:val="32"/>
          <w:lang w:val="en-US" w:eastAsia="zh-CN"/>
        </w:rPr>
        <w:t>0</w:t>
      </w:r>
      <w:r>
        <w:rPr>
          <w:rFonts w:hint="eastAsia" w:cs="仿宋_GB2312"/>
          <w:color w:val="auto"/>
          <w:kern w:val="2"/>
          <w:sz w:val="32"/>
          <w:szCs w:val="32"/>
        </w:rPr>
        <w:t>万元。</w:t>
      </w:r>
    </w:p>
    <w:p w14:paraId="087D8EEC">
      <w:pPr>
        <w:pStyle w:val="11"/>
        <w:spacing w:before="0" w:line="360" w:lineRule="auto"/>
        <w:ind w:firstLine="640" w:firstLineChars="200"/>
        <w:rPr>
          <w:rFonts w:hint="eastAsia" w:cs="宋体"/>
          <w:color w:val="auto"/>
          <w:sz w:val="32"/>
          <w:szCs w:val="32"/>
          <w:lang w:val="en-US" w:eastAsia="zh-CN"/>
        </w:rPr>
      </w:pPr>
      <w:r>
        <w:rPr>
          <w:rFonts w:hint="eastAsia" w:cs="仿宋_GB2312"/>
          <w:color w:val="auto"/>
          <w:kern w:val="2"/>
          <w:sz w:val="32"/>
          <w:szCs w:val="32"/>
        </w:rPr>
        <w:t>（二）2025年公务接待经费</w:t>
      </w:r>
      <w:r>
        <w:rPr>
          <w:rFonts w:hint="eastAsia" w:cs="仿宋_GB2312"/>
          <w:color w:val="auto"/>
          <w:kern w:val="2"/>
          <w:sz w:val="32"/>
          <w:szCs w:val="32"/>
          <w:lang w:val="en-US" w:eastAsia="zh-CN"/>
        </w:rPr>
        <w:t>46.64</w:t>
      </w:r>
      <w:r>
        <w:rPr>
          <w:rFonts w:hint="eastAsia" w:cs="仿宋_GB2312"/>
          <w:color w:val="auto"/>
          <w:kern w:val="2"/>
          <w:sz w:val="32"/>
          <w:szCs w:val="32"/>
        </w:rPr>
        <w:t>万元。</w:t>
      </w:r>
      <w:r>
        <w:rPr>
          <w:rFonts w:hint="eastAsia" w:cs="仿宋_GB2312"/>
          <w:color w:val="auto"/>
          <w:kern w:val="2"/>
          <w:sz w:val="32"/>
          <w:szCs w:val="32"/>
          <w:lang w:val="en-US" w:eastAsia="zh-CN"/>
        </w:rPr>
        <w:t>与</w:t>
      </w:r>
      <w:r>
        <w:rPr>
          <w:rFonts w:hint="eastAsia" w:cs="仿宋_GB2312"/>
          <w:color w:val="auto"/>
          <w:kern w:val="2"/>
          <w:sz w:val="32"/>
          <w:szCs w:val="32"/>
        </w:rPr>
        <w:t>2024年预算经费</w:t>
      </w:r>
      <w:r>
        <w:rPr>
          <w:rFonts w:hint="eastAsia" w:cs="宋体"/>
          <w:color w:val="auto"/>
          <w:sz w:val="32"/>
          <w:szCs w:val="32"/>
          <w:lang w:val="en-US" w:eastAsia="zh-CN"/>
        </w:rPr>
        <w:t>持平。</w:t>
      </w:r>
    </w:p>
    <w:p w14:paraId="27D50CE7">
      <w:pPr>
        <w:pStyle w:val="11"/>
        <w:spacing w:before="0" w:line="360" w:lineRule="auto"/>
        <w:ind w:firstLine="640" w:firstLineChars="200"/>
        <w:rPr>
          <w:rFonts w:hint="eastAsia" w:cs="宋体"/>
          <w:color w:val="auto"/>
          <w:sz w:val="32"/>
          <w:szCs w:val="32"/>
          <w:lang w:val="en-US" w:eastAsia="zh-CN"/>
        </w:rPr>
      </w:pPr>
      <w:r>
        <w:rPr>
          <w:rFonts w:hint="eastAsia" w:cs="仿宋_GB2312"/>
          <w:color w:val="auto"/>
          <w:kern w:val="2"/>
          <w:sz w:val="32"/>
          <w:szCs w:val="32"/>
        </w:rPr>
        <w:t>（三）2025年公务用车购置</w:t>
      </w:r>
      <w:r>
        <w:rPr>
          <w:rFonts w:hint="eastAsia" w:cs="仿宋_GB2312"/>
          <w:color w:val="auto"/>
          <w:kern w:val="2"/>
          <w:sz w:val="32"/>
          <w:szCs w:val="32"/>
          <w:lang w:val="en-US" w:eastAsia="zh-CN"/>
        </w:rPr>
        <w:t>15万元，</w:t>
      </w:r>
      <w:r>
        <w:rPr>
          <w:rFonts w:hint="eastAsia" w:cs="仿宋_GB2312"/>
          <w:color w:val="auto"/>
          <w:kern w:val="2"/>
          <w:sz w:val="32"/>
          <w:szCs w:val="32"/>
          <w:lang w:eastAsia="zh-CN"/>
        </w:rPr>
        <w:t>公务用车</w:t>
      </w:r>
      <w:r>
        <w:rPr>
          <w:rFonts w:hint="eastAsia" w:cs="仿宋_GB2312"/>
          <w:color w:val="auto"/>
          <w:kern w:val="2"/>
          <w:sz w:val="32"/>
          <w:szCs w:val="32"/>
        </w:rPr>
        <w:t>运行维护费</w:t>
      </w:r>
      <w:r>
        <w:rPr>
          <w:rFonts w:hint="eastAsia" w:cs="仿宋_GB2312"/>
          <w:color w:val="auto"/>
          <w:kern w:val="2"/>
          <w:sz w:val="32"/>
          <w:szCs w:val="32"/>
          <w:lang w:val="en-US" w:eastAsia="zh-CN"/>
        </w:rPr>
        <w:t>137.6</w:t>
      </w:r>
      <w:r>
        <w:rPr>
          <w:rFonts w:hint="eastAsia" w:cs="仿宋_GB2312"/>
          <w:color w:val="auto"/>
          <w:kern w:val="2"/>
          <w:sz w:val="32"/>
          <w:szCs w:val="32"/>
        </w:rPr>
        <w:t>万元。</w:t>
      </w:r>
      <w:r>
        <w:rPr>
          <w:rFonts w:hint="eastAsia" w:cs="仿宋_GB2312"/>
          <w:color w:val="auto"/>
          <w:kern w:val="2"/>
          <w:sz w:val="32"/>
          <w:szCs w:val="32"/>
          <w:lang w:val="en-US" w:eastAsia="zh-CN"/>
        </w:rPr>
        <w:t>与</w:t>
      </w:r>
      <w:r>
        <w:rPr>
          <w:rFonts w:hint="eastAsia" w:cs="仿宋_GB2312"/>
          <w:color w:val="auto"/>
          <w:kern w:val="2"/>
          <w:sz w:val="32"/>
          <w:szCs w:val="32"/>
        </w:rPr>
        <w:t>2024年预算经费</w:t>
      </w:r>
      <w:r>
        <w:rPr>
          <w:rFonts w:hint="eastAsia" w:cs="宋体"/>
          <w:color w:val="auto"/>
          <w:sz w:val="32"/>
          <w:szCs w:val="32"/>
          <w:lang w:val="en-US" w:eastAsia="zh-CN"/>
        </w:rPr>
        <w:t>持平。</w:t>
      </w:r>
    </w:p>
    <w:p w14:paraId="4E928832">
      <w:pPr>
        <w:pStyle w:val="11"/>
        <w:spacing w:before="0" w:line="360" w:lineRule="auto"/>
        <w:ind w:firstLine="640" w:firstLineChars="200"/>
        <w:rPr>
          <w:rFonts w:ascii="黑体" w:eastAsia="黑体"/>
          <w:color w:val="auto"/>
          <w:sz w:val="32"/>
          <w:szCs w:val="32"/>
        </w:rPr>
      </w:pPr>
      <w:r>
        <w:rPr>
          <w:rFonts w:hint="eastAsia" w:ascii="黑体" w:eastAsia="黑体"/>
          <w:color w:val="auto"/>
          <w:sz w:val="32"/>
          <w:szCs w:val="32"/>
        </w:rPr>
        <w:t>八、政府性基金</w:t>
      </w:r>
      <w:r>
        <w:rPr>
          <w:rFonts w:hint="eastAsia" w:ascii="黑体" w:eastAsia="黑体" w:cs="仿宋_GB2312"/>
          <w:color w:val="auto"/>
          <w:kern w:val="2"/>
          <w:sz w:val="32"/>
          <w:szCs w:val="32"/>
        </w:rPr>
        <w:t>预算</w:t>
      </w:r>
      <w:r>
        <w:rPr>
          <w:rFonts w:hint="eastAsia" w:ascii="黑体" w:eastAsia="黑体"/>
          <w:color w:val="auto"/>
          <w:sz w:val="32"/>
          <w:szCs w:val="32"/>
        </w:rPr>
        <w:t>支出情况说明</w:t>
      </w:r>
    </w:p>
    <w:p w14:paraId="3E8D117D">
      <w:pPr>
        <w:pStyle w:val="11"/>
        <w:spacing w:before="0" w:line="360" w:lineRule="auto"/>
        <w:ind w:firstLine="640" w:firstLineChars="200"/>
        <w:rPr>
          <w:rFonts w:hint="eastAsia" w:cs="宋体"/>
          <w:color w:val="auto"/>
          <w:sz w:val="32"/>
          <w:szCs w:val="32"/>
          <w:lang w:val="en-US" w:eastAsia="zh-CN"/>
        </w:rPr>
      </w:pPr>
      <w:r>
        <w:rPr>
          <w:rFonts w:hint="eastAsia" w:cs="仿宋_GB2312"/>
          <w:color w:val="auto"/>
          <w:kern w:val="2"/>
          <w:sz w:val="32"/>
          <w:szCs w:val="32"/>
          <w:lang w:val="en-US" w:eastAsia="zh-CN"/>
        </w:rPr>
        <w:t>达古冰川风景名胜区管理局</w:t>
      </w:r>
      <w:r>
        <w:rPr>
          <w:rFonts w:hint="eastAsia" w:cs="仿宋_GB2312"/>
          <w:color w:val="auto"/>
          <w:kern w:val="2"/>
          <w:sz w:val="32"/>
          <w:szCs w:val="32"/>
        </w:rPr>
        <w:t>2025年政府性基金预算拨款安排的支出</w:t>
      </w:r>
      <w:r>
        <w:rPr>
          <w:rFonts w:hint="eastAsia" w:cs="仿宋_GB2312"/>
          <w:color w:val="auto"/>
          <w:kern w:val="2"/>
          <w:sz w:val="32"/>
          <w:szCs w:val="32"/>
          <w:lang w:val="en-US" w:eastAsia="zh-CN"/>
        </w:rPr>
        <w:t>0</w:t>
      </w:r>
      <w:r>
        <w:rPr>
          <w:rFonts w:hint="eastAsia" w:cs="仿宋_GB2312"/>
          <w:color w:val="auto"/>
          <w:kern w:val="2"/>
          <w:sz w:val="32"/>
          <w:szCs w:val="32"/>
        </w:rPr>
        <w:t>万元。较2024年预算经费</w:t>
      </w:r>
      <w:r>
        <w:rPr>
          <w:rFonts w:hint="eastAsia" w:cs="宋体"/>
          <w:color w:val="auto"/>
          <w:sz w:val="32"/>
          <w:szCs w:val="32"/>
          <w:lang w:val="en-US" w:eastAsia="zh-CN"/>
        </w:rPr>
        <w:t>持平。</w:t>
      </w:r>
    </w:p>
    <w:p w14:paraId="05012501">
      <w:pPr>
        <w:pStyle w:val="11"/>
        <w:spacing w:before="0" w:line="360" w:lineRule="auto"/>
        <w:ind w:firstLine="640" w:firstLineChars="200"/>
        <w:rPr>
          <w:rFonts w:ascii="黑体" w:eastAsia="黑体"/>
          <w:color w:val="auto"/>
          <w:sz w:val="32"/>
          <w:szCs w:val="32"/>
        </w:rPr>
      </w:pPr>
      <w:r>
        <w:rPr>
          <w:rFonts w:hint="eastAsia" w:ascii="黑体" w:eastAsia="黑体"/>
          <w:color w:val="auto"/>
          <w:sz w:val="32"/>
          <w:szCs w:val="32"/>
        </w:rPr>
        <w:t>九、其他重要事项的情况说明</w:t>
      </w:r>
    </w:p>
    <w:p w14:paraId="6713C501">
      <w:pPr>
        <w:pStyle w:val="11"/>
        <w:spacing w:before="0" w:line="360" w:lineRule="auto"/>
        <w:ind w:left="638" w:leftChars="304" w:firstLine="0" w:firstLineChars="0"/>
        <w:rPr>
          <w:rFonts w:hint="eastAsia" w:ascii="楷体" w:eastAsia="楷体" w:cs="仿宋_GB2312"/>
          <w:color w:val="auto"/>
          <w:kern w:val="2"/>
          <w:sz w:val="32"/>
          <w:szCs w:val="32"/>
        </w:rPr>
      </w:pPr>
      <w:r>
        <w:rPr>
          <w:rFonts w:hint="eastAsia" w:ascii="楷体" w:eastAsia="楷体" w:cs="仿宋_GB2312"/>
          <w:color w:val="auto"/>
          <w:kern w:val="2"/>
          <w:sz w:val="32"/>
          <w:szCs w:val="32"/>
        </w:rPr>
        <w:t>（一）机关运行经费</w:t>
      </w:r>
    </w:p>
    <w:p w14:paraId="41EA4D02">
      <w:pPr>
        <w:pStyle w:val="11"/>
        <w:spacing w:before="0" w:line="360" w:lineRule="auto"/>
        <w:ind w:firstLine="640" w:firstLineChars="200"/>
        <w:rPr>
          <w:rFonts w:hint="eastAsia" w:cs="宋体"/>
          <w:color w:val="auto"/>
          <w:sz w:val="32"/>
          <w:szCs w:val="32"/>
          <w:lang w:val="en-US" w:eastAsia="zh-CN"/>
        </w:rPr>
      </w:pPr>
      <w:r>
        <w:rPr>
          <w:rFonts w:hint="eastAsia" w:cs="仿宋_GB2312"/>
          <w:color w:val="auto"/>
          <w:kern w:val="2"/>
          <w:sz w:val="32"/>
          <w:szCs w:val="32"/>
          <w:lang w:val="en-US" w:eastAsia="zh-CN"/>
        </w:rPr>
        <w:t>达古冰川风景名胜区管理局</w:t>
      </w:r>
      <w:r>
        <w:rPr>
          <w:rFonts w:hint="eastAsia" w:cs="仿宋_GB2312"/>
          <w:color w:val="auto"/>
          <w:kern w:val="2"/>
          <w:sz w:val="32"/>
          <w:szCs w:val="32"/>
        </w:rPr>
        <w:t>2025年机关运行经费财政拨款预算为</w:t>
      </w:r>
      <w:r>
        <w:rPr>
          <w:rFonts w:hint="eastAsia" w:cs="仿宋_GB2312"/>
          <w:color w:val="auto"/>
          <w:kern w:val="2"/>
          <w:sz w:val="32"/>
          <w:szCs w:val="32"/>
          <w:lang w:val="en-US" w:eastAsia="zh-CN"/>
        </w:rPr>
        <w:t>0</w:t>
      </w:r>
      <w:r>
        <w:rPr>
          <w:rFonts w:hint="eastAsia" w:cs="仿宋_GB2312"/>
          <w:color w:val="auto"/>
          <w:kern w:val="2"/>
          <w:sz w:val="32"/>
          <w:szCs w:val="32"/>
        </w:rPr>
        <w:t>万元，比2024年预算</w:t>
      </w:r>
      <w:r>
        <w:rPr>
          <w:rFonts w:hint="eastAsia" w:cs="宋体"/>
          <w:color w:val="auto"/>
          <w:sz w:val="32"/>
          <w:szCs w:val="32"/>
          <w:lang w:val="en-US" w:eastAsia="zh-CN"/>
        </w:rPr>
        <w:t>持平。</w:t>
      </w:r>
    </w:p>
    <w:p w14:paraId="26EB0CD7">
      <w:pPr>
        <w:pStyle w:val="11"/>
        <w:spacing w:before="0" w:line="360" w:lineRule="auto"/>
        <w:ind w:firstLine="640" w:firstLineChars="200"/>
        <w:rPr>
          <w:rFonts w:hint="default" w:eastAsia="仿宋_GB2312" w:cs="仿宋_GB2312"/>
          <w:color w:val="auto"/>
          <w:kern w:val="2"/>
          <w:sz w:val="32"/>
          <w:szCs w:val="32"/>
          <w:lang w:val="en-US" w:eastAsia="zh-CN"/>
        </w:rPr>
      </w:pPr>
      <w:r>
        <w:rPr>
          <w:rFonts w:hint="eastAsia" w:ascii="楷体" w:eastAsia="楷体" w:cs="仿宋_GB2312"/>
          <w:color w:val="auto"/>
          <w:kern w:val="2"/>
          <w:sz w:val="32"/>
          <w:szCs w:val="32"/>
        </w:rPr>
        <w:t>（二）政府采购情况</w:t>
      </w:r>
      <w:r>
        <w:rPr>
          <w:rFonts w:hint="eastAsia" w:cs="仿宋_GB2312"/>
          <w:color w:val="auto"/>
          <w:kern w:val="2"/>
          <w:sz w:val="32"/>
          <w:szCs w:val="32"/>
        </w:rPr>
        <w:br w:type="textWrapping"/>
      </w:r>
      <w:r>
        <w:rPr>
          <w:rFonts w:hint="eastAsia" w:cs="仿宋_GB2312"/>
          <w:color w:val="auto"/>
          <w:kern w:val="2"/>
          <w:sz w:val="32"/>
          <w:szCs w:val="32"/>
        </w:rPr>
        <w:t>　　 2025年</w:t>
      </w:r>
      <w:r>
        <w:rPr>
          <w:rFonts w:hint="eastAsia" w:cs="仿宋_GB2312"/>
          <w:color w:val="auto"/>
          <w:kern w:val="2"/>
          <w:sz w:val="32"/>
          <w:szCs w:val="32"/>
          <w:lang w:val="en-US" w:eastAsia="zh-CN"/>
        </w:rPr>
        <w:t>达古冰川风景名胜区管理局</w:t>
      </w:r>
      <w:r>
        <w:rPr>
          <w:rFonts w:hint="eastAsia" w:cs="仿宋_GB2312"/>
          <w:color w:val="auto"/>
          <w:kern w:val="2"/>
          <w:sz w:val="32"/>
          <w:szCs w:val="32"/>
        </w:rPr>
        <w:t>安排政府采购预算</w:t>
      </w:r>
      <w:r>
        <w:rPr>
          <w:rFonts w:hint="eastAsia" w:cs="仿宋_GB2312"/>
          <w:color w:val="auto"/>
          <w:kern w:val="2"/>
          <w:sz w:val="32"/>
          <w:szCs w:val="32"/>
          <w:lang w:val="en-US" w:eastAsia="zh-CN"/>
        </w:rPr>
        <w:t>29</w:t>
      </w:r>
      <w:r>
        <w:rPr>
          <w:rFonts w:hint="eastAsia" w:cs="仿宋_GB2312"/>
          <w:color w:val="auto"/>
          <w:kern w:val="2"/>
          <w:sz w:val="32"/>
          <w:szCs w:val="32"/>
        </w:rPr>
        <w:t>万元，主要用于</w:t>
      </w:r>
      <w:r>
        <w:rPr>
          <w:rFonts w:hint="eastAsia" w:cs="仿宋_GB2312"/>
          <w:color w:val="auto"/>
          <w:kern w:val="2"/>
          <w:sz w:val="32"/>
          <w:szCs w:val="32"/>
          <w:lang w:val="en-US" w:eastAsia="zh-CN"/>
        </w:rPr>
        <w:t>办公设备购置及职工培训。</w:t>
      </w:r>
    </w:p>
    <w:p w14:paraId="6FF90B88">
      <w:pPr>
        <w:pStyle w:val="11"/>
        <w:spacing w:before="0" w:line="360" w:lineRule="auto"/>
        <w:ind w:firstLine="640" w:firstLineChars="200"/>
        <w:rPr>
          <w:rFonts w:ascii="楷体" w:eastAsia="楷体" w:cs="仿宋_GB2312"/>
          <w:color w:val="auto"/>
          <w:kern w:val="2"/>
          <w:sz w:val="32"/>
          <w:szCs w:val="32"/>
        </w:rPr>
      </w:pPr>
      <w:r>
        <w:rPr>
          <w:rFonts w:hint="eastAsia" w:ascii="楷体" w:eastAsia="楷体" w:cs="仿宋_GB2312"/>
          <w:color w:val="auto"/>
          <w:kern w:val="2"/>
          <w:sz w:val="32"/>
          <w:szCs w:val="32"/>
        </w:rPr>
        <w:t>（三）国有资产占有使用情况</w:t>
      </w:r>
    </w:p>
    <w:p w14:paraId="0D8B8480">
      <w:pPr>
        <w:pStyle w:val="11"/>
        <w:spacing w:before="0" w:line="360" w:lineRule="auto"/>
        <w:ind w:firstLine="640" w:firstLineChars="200"/>
        <w:rPr>
          <w:rFonts w:cs="仿宋_GB2312"/>
          <w:color w:val="auto"/>
          <w:kern w:val="2"/>
          <w:sz w:val="32"/>
          <w:szCs w:val="32"/>
        </w:rPr>
      </w:pPr>
      <w:r>
        <w:rPr>
          <w:rFonts w:hint="eastAsia" w:cs="仿宋_GB2312"/>
          <w:color w:val="auto"/>
          <w:kern w:val="2"/>
          <w:sz w:val="32"/>
          <w:szCs w:val="32"/>
        </w:rPr>
        <w:t>截至2024年12月31日，我单位固定资产</w:t>
      </w:r>
      <w:r>
        <w:rPr>
          <w:rFonts w:hint="eastAsia" w:cs="仿宋_GB2312"/>
          <w:color w:val="auto"/>
          <w:kern w:val="2"/>
          <w:sz w:val="32"/>
          <w:szCs w:val="32"/>
          <w:lang w:val="en-US" w:eastAsia="zh-CN"/>
        </w:rPr>
        <w:t>50794.97</w:t>
      </w:r>
      <w:r>
        <w:rPr>
          <w:rFonts w:hint="eastAsia" w:cs="仿宋_GB2312"/>
          <w:color w:val="auto"/>
          <w:kern w:val="2"/>
          <w:sz w:val="32"/>
          <w:szCs w:val="32"/>
        </w:rPr>
        <w:t>万元。</w:t>
      </w:r>
    </w:p>
    <w:p w14:paraId="466F1CF4">
      <w:pPr>
        <w:pStyle w:val="11"/>
        <w:spacing w:before="0" w:line="360" w:lineRule="auto"/>
        <w:ind w:firstLine="640" w:firstLineChars="200"/>
        <w:rPr>
          <w:rFonts w:ascii="黑体" w:eastAsia="黑体"/>
          <w:color w:val="auto"/>
          <w:sz w:val="32"/>
          <w:szCs w:val="32"/>
        </w:rPr>
      </w:pPr>
      <w:r>
        <w:rPr>
          <w:rFonts w:hint="eastAsia" w:ascii="楷体" w:eastAsia="楷体" w:cs="仿宋_GB2312"/>
          <w:color w:val="auto"/>
          <w:kern w:val="2"/>
          <w:sz w:val="32"/>
          <w:szCs w:val="32"/>
        </w:rPr>
        <w:t>（四）绩效目标设置情况</w:t>
      </w:r>
      <w:r>
        <w:rPr>
          <w:rFonts w:hint="eastAsia" w:cs="仿宋_GB2312"/>
          <w:color w:val="auto"/>
          <w:kern w:val="2"/>
          <w:sz w:val="32"/>
          <w:szCs w:val="32"/>
        </w:rPr>
        <w:br w:type="textWrapping"/>
      </w:r>
      <w:r>
        <w:rPr>
          <w:rFonts w:hint="eastAsia" w:cs="仿宋_GB2312"/>
          <w:color w:val="auto"/>
          <w:kern w:val="2"/>
          <w:sz w:val="32"/>
          <w:szCs w:val="32"/>
        </w:rPr>
        <w:t>　　2025年</w:t>
      </w:r>
      <w:r>
        <w:rPr>
          <w:rFonts w:hint="eastAsia" w:cs="仿宋_GB2312"/>
          <w:color w:val="auto"/>
          <w:kern w:val="2"/>
          <w:sz w:val="32"/>
          <w:szCs w:val="32"/>
          <w:lang w:val="en-US" w:eastAsia="zh-CN"/>
        </w:rPr>
        <w:t>达古冰川风景名胜区管理局</w:t>
      </w:r>
      <w:r>
        <w:rPr>
          <w:rFonts w:hint="eastAsia" w:cs="仿宋_GB2312"/>
          <w:color w:val="auto"/>
          <w:kern w:val="2"/>
          <w:sz w:val="32"/>
          <w:szCs w:val="32"/>
        </w:rPr>
        <w:t>通用项目和专用项目均按要求</w:t>
      </w:r>
      <w:r>
        <w:rPr>
          <w:rFonts w:hint="eastAsia" w:cs="仿宋_GB2312"/>
          <w:color w:val="auto"/>
          <w:kern w:val="2"/>
          <w:sz w:val="32"/>
          <w:szCs w:val="32"/>
          <w:lang w:eastAsia="zh-CN"/>
        </w:rPr>
        <w:t>设置绩效目标，</w:t>
      </w:r>
      <w:r>
        <w:rPr>
          <w:rFonts w:hint="eastAsia" w:cs="仿宋_GB2312"/>
          <w:color w:val="auto"/>
          <w:kern w:val="2"/>
          <w:sz w:val="32"/>
          <w:szCs w:val="32"/>
        </w:rPr>
        <w:t>实行绩效目标管理，涉及一般公共预算当年拨款</w:t>
      </w:r>
      <w:r>
        <w:rPr>
          <w:rFonts w:hint="eastAsia" w:cs="仿宋_GB2312"/>
          <w:color w:val="auto"/>
          <w:kern w:val="2"/>
          <w:sz w:val="32"/>
          <w:szCs w:val="32"/>
          <w:lang w:val="en-US" w:eastAsia="zh-CN"/>
        </w:rPr>
        <w:t>957.00</w:t>
      </w:r>
      <w:r>
        <w:rPr>
          <w:rFonts w:hint="eastAsia" w:cs="仿宋_GB2312"/>
          <w:color w:val="auto"/>
          <w:kern w:val="2"/>
          <w:sz w:val="32"/>
          <w:szCs w:val="32"/>
        </w:rPr>
        <w:t>万元。</w:t>
      </w:r>
    </w:p>
    <w:p w14:paraId="0EE95A21">
      <w:pPr>
        <w:pStyle w:val="11"/>
        <w:spacing w:before="0" w:line="360" w:lineRule="auto"/>
        <w:ind w:firstLine="640" w:firstLineChars="200"/>
        <w:rPr>
          <w:rFonts w:cs="仿宋_GB2312"/>
          <w:color w:val="auto"/>
          <w:kern w:val="2"/>
          <w:sz w:val="32"/>
          <w:szCs w:val="32"/>
        </w:rPr>
      </w:pPr>
      <w:r>
        <w:rPr>
          <w:rFonts w:hint="eastAsia" w:ascii="黑体" w:eastAsia="黑体"/>
          <w:color w:val="auto"/>
          <w:sz w:val="32"/>
          <w:szCs w:val="32"/>
        </w:rPr>
        <w:t xml:space="preserve">十、名称解释 </w:t>
      </w:r>
      <w:r>
        <w:rPr>
          <w:rFonts w:hint="eastAsia" w:cs="仿宋_GB2312"/>
          <w:color w:val="auto"/>
          <w:sz w:val="32"/>
          <w:szCs w:val="32"/>
        </w:rPr>
        <w:br w:type="textWrapping"/>
      </w:r>
      <w:r>
        <w:rPr>
          <w:rFonts w:hint="eastAsia" w:ascii="??" w:hAnsi="??" w:eastAsia="宋体" w:cs="宋体"/>
          <w:color w:val="auto"/>
          <w:sz w:val="16"/>
        </w:rPr>
        <w:t xml:space="preserve">　　   </w:t>
      </w:r>
      <w:r>
        <w:rPr>
          <w:rFonts w:hint="eastAsia" w:ascii="楷体" w:eastAsia="楷体" w:cs="仿宋_GB2312"/>
          <w:color w:val="auto"/>
          <w:kern w:val="2"/>
          <w:sz w:val="32"/>
          <w:szCs w:val="32"/>
        </w:rPr>
        <w:t>（一）财政拨款收入</w:t>
      </w:r>
      <w:r>
        <w:rPr>
          <w:rFonts w:hint="eastAsia" w:cs="仿宋_GB2312"/>
          <w:color w:val="auto"/>
          <w:kern w:val="2"/>
          <w:sz w:val="32"/>
          <w:szCs w:val="32"/>
        </w:rPr>
        <w:t>：指由财政拨款形成的部门收入。按现行管理制度，部门预算中反映的财政拨款仅包括一般公共预算拨款和政府性基金预算拨款。</w:t>
      </w:r>
      <w:r>
        <w:rPr>
          <w:rFonts w:cs="仿宋_GB2312"/>
          <w:color w:val="auto"/>
          <w:kern w:val="2"/>
          <w:sz w:val="32"/>
          <w:szCs w:val="32"/>
        </w:rPr>
        <w:br w:type="textWrapping"/>
      </w:r>
      <w:r>
        <w:rPr>
          <w:rFonts w:hint="eastAsia" w:cs="仿宋_GB2312"/>
          <w:color w:val="auto"/>
          <w:kern w:val="2"/>
          <w:sz w:val="32"/>
          <w:szCs w:val="32"/>
        </w:rPr>
        <w:t>　　</w:t>
      </w:r>
      <w:r>
        <w:rPr>
          <w:rFonts w:hint="eastAsia" w:ascii="楷体" w:eastAsia="楷体" w:cs="仿宋_GB2312"/>
          <w:color w:val="auto"/>
          <w:kern w:val="2"/>
          <w:sz w:val="32"/>
          <w:szCs w:val="32"/>
        </w:rPr>
        <w:t>（二）事业收入</w:t>
      </w:r>
      <w:r>
        <w:rPr>
          <w:rFonts w:hint="eastAsia" w:cs="仿宋_GB2312"/>
          <w:color w:val="auto"/>
          <w:kern w:val="2"/>
          <w:sz w:val="32"/>
          <w:szCs w:val="32"/>
        </w:rPr>
        <w:t>：指所属事业单位开展专业业务活动及辅助活动所取得的收入。</w:t>
      </w:r>
      <w:r>
        <w:rPr>
          <w:rFonts w:cs="仿宋_GB2312"/>
          <w:color w:val="auto"/>
          <w:kern w:val="2"/>
          <w:sz w:val="32"/>
          <w:szCs w:val="32"/>
        </w:rPr>
        <w:br w:type="textWrapping"/>
      </w:r>
      <w:r>
        <w:rPr>
          <w:rFonts w:hint="eastAsia" w:cs="仿宋_GB2312"/>
          <w:color w:val="auto"/>
          <w:kern w:val="2"/>
          <w:sz w:val="32"/>
          <w:szCs w:val="32"/>
        </w:rPr>
        <w:t>　　</w:t>
      </w:r>
      <w:r>
        <w:rPr>
          <w:rFonts w:hint="eastAsia" w:ascii="楷体" w:eastAsia="楷体" w:cs="仿宋_GB2312"/>
          <w:color w:val="auto"/>
          <w:kern w:val="2"/>
          <w:sz w:val="32"/>
          <w:szCs w:val="32"/>
        </w:rPr>
        <w:t>（三）事业单位经营收入</w:t>
      </w:r>
      <w:r>
        <w:rPr>
          <w:rFonts w:hint="eastAsia" w:cs="仿宋_GB2312"/>
          <w:color w:val="auto"/>
          <w:kern w:val="2"/>
          <w:sz w:val="32"/>
          <w:szCs w:val="32"/>
        </w:rPr>
        <w:t>：指所属事业单位在专业业务活动及其辅助活动之外开展非独立核算经营活动取得的收入。</w:t>
      </w:r>
      <w:r>
        <w:rPr>
          <w:rFonts w:cs="仿宋_GB2312"/>
          <w:color w:val="auto"/>
          <w:kern w:val="2"/>
          <w:sz w:val="32"/>
          <w:szCs w:val="32"/>
        </w:rPr>
        <w:br w:type="textWrapping"/>
      </w:r>
      <w:r>
        <w:rPr>
          <w:rFonts w:hint="eastAsia" w:cs="仿宋_GB2312"/>
          <w:color w:val="auto"/>
          <w:kern w:val="2"/>
          <w:sz w:val="32"/>
          <w:szCs w:val="32"/>
        </w:rPr>
        <w:t>　</w:t>
      </w:r>
      <w:r>
        <w:rPr>
          <w:rFonts w:hint="eastAsia" w:ascii="楷体" w:eastAsia="楷体" w:cs="仿宋_GB2312"/>
          <w:color w:val="auto"/>
          <w:kern w:val="2"/>
          <w:sz w:val="32"/>
          <w:szCs w:val="32"/>
        </w:rPr>
        <w:t>　（四）其他收入</w:t>
      </w:r>
      <w:r>
        <w:rPr>
          <w:rFonts w:hint="eastAsia" w:cs="仿宋_GB2312"/>
          <w:color w:val="auto"/>
          <w:kern w:val="2"/>
          <w:sz w:val="32"/>
          <w:szCs w:val="32"/>
        </w:rPr>
        <w:t>：指除上述</w:t>
      </w:r>
      <w:r>
        <w:rPr>
          <w:rFonts w:cs="仿宋_GB2312"/>
          <w:color w:val="auto"/>
          <w:kern w:val="2"/>
          <w:sz w:val="32"/>
          <w:szCs w:val="32"/>
        </w:rPr>
        <w:t>“</w:t>
      </w:r>
      <w:r>
        <w:rPr>
          <w:rFonts w:hint="eastAsia" w:cs="仿宋_GB2312"/>
          <w:color w:val="auto"/>
          <w:kern w:val="2"/>
          <w:sz w:val="32"/>
          <w:szCs w:val="32"/>
        </w:rPr>
        <w:t>财政拨款收入</w:t>
      </w:r>
      <w:r>
        <w:rPr>
          <w:rFonts w:cs="仿宋_GB2312"/>
          <w:color w:val="auto"/>
          <w:kern w:val="2"/>
          <w:sz w:val="32"/>
          <w:szCs w:val="32"/>
        </w:rPr>
        <w:t>”</w:t>
      </w:r>
      <w:r>
        <w:rPr>
          <w:rFonts w:hint="eastAsia" w:cs="仿宋_GB2312"/>
          <w:color w:val="auto"/>
          <w:kern w:val="2"/>
          <w:sz w:val="32"/>
          <w:szCs w:val="32"/>
        </w:rPr>
        <w:t>、</w:t>
      </w:r>
      <w:r>
        <w:rPr>
          <w:rFonts w:cs="仿宋_GB2312"/>
          <w:color w:val="auto"/>
          <w:kern w:val="2"/>
          <w:sz w:val="32"/>
          <w:szCs w:val="32"/>
        </w:rPr>
        <w:t>“</w:t>
      </w:r>
      <w:r>
        <w:rPr>
          <w:rFonts w:hint="eastAsia" w:cs="仿宋_GB2312"/>
          <w:color w:val="auto"/>
          <w:kern w:val="2"/>
          <w:sz w:val="32"/>
          <w:szCs w:val="32"/>
        </w:rPr>
        <w:t>事业收入</w:t>
      </w:r>
      <w:r>
        <w:rPr>
          <w:rFonts w:cs="仿宋_GB2312"/>
          <w:color w:val="auto"/>
          <w:kern w:val="2"/>
          <w:sz w:val="32"/>
          <w:szCs w:val="32"/>
        </w:rPr>
        <w:t>”</w:t>
      </w:r>
      <w:r>
        <w:rPr>
          <w:rFonts w:hint="eastAsia" w:cs="仿宋_GB2312"/>
          <w:color w:val="auto"/>
          <w:kern w:val="2"/>
          <w:sz w:val="32"/>
          <w:szCs w:val="32"/>
        </w:rPr>
        <w:t>、</w:t>
      </w:r>
      <w:r>
        <w:rPr>
          <w:rFonts w:cs="仿宋_GB2312"/>
          <w:color w:val="auto"/>
          <w:kern w:val="2"/>
          <w:sz w:val="32"/>
          <w:szCs w:val="32"/>
        </w:rPr>
        <w:t>“</w:t>
      </w:r>
      <w:r>
        <w:rPr>
          <w:rFonts w:hint="eastAsia" w:cs="仿宋_GB2312"/>
          <w:color w:val="auto"/>
          <w:kern w:val="2"/>
          <w:sz w:val="32"/>
          <w:szCs w:val="32"/>
        </w:rPr>
        <w:t>事业单位经营收入</w:t>
      </w:r>
      <w:r>
        <w:rPr>
          <w:rFonts w:cs="仿宋_GB2312"/>
          <w:color w:val="auto"/>
          <w:kern w:val="2"/>
          <w:sz w:val="32"/>
          <w:szCs w:val="32"/>
        </w:rPr>
        <w:t>”</w:t>
      </w:r>
      <w:r>
        <w:rPr>
          <w:rFonts w:hint="eastAsia" w:cs="仿宋_GB2312"/>
          <w:color w:val="auto"/>
          <w:kern w:val="2"/>
          <w:sz w:val="32"/>
          <w:szCs w:val="32"/>
        </w:rPr>
        <w:t>等以外的收入，主要是所属行政事业单位按规定动用的售房收入、存款利息收入等。</w:t>
      </w:r>
      <w:r>
        <w:rPr>
          <w:rFonts w:cs="仿宋_GB2312"/>
          <w:color w:val="auto"/>
          <w:kern w:val="2"/>
          <w:sz w:val="32"/>
          <w:szCs w:val="32"/>
        </w:rPr>
        <w:br w:type="textWrapping"/>
      </w:r>
      <w:r>
        <w:rPr>
          <w:rFonts w:hint="eastAsia" w:cs="仿宋_GB2312"/>
          <w:color w:val="auto"/>
          <w:kern w:val="2"/>
          <w:sz w:val="32"/>
          <w:szCs w:val="32"/>
        </w:rPr>
        <w:t>　</w:t>
      </w:r>
      <w:r>
        <w:rPr>
          <w:rFonts w:hint="eastAsia" w:ascii="楷体" w:eastAsia="楷体" w:cs="仿宋_GB2312"/>
          <w:color w:val="auto"/>
          <w:kern w:val="2"/>
          <w:sz w:val="32"/>
          <w:szCs w:val="32"/>
        </w:rPr>
        <w:t>　（五）用事业基金弥补收支差额</w:t>
      </w:r>
      <w:r>
        <w:rPr>
          <w:rFonts w:hint="eastAsia" w:cs="仿宋_GB2312"/>
          <w:color w:val="auto"/>
          <w:kern w:val="2"/>
          <w:sz w:val="32"/>
          <w:szCs w:val="32"/>
        </w:rPr>
        <w:t>：指所属事业单位在预计用当年的</w:t>
      </w:r>
      <w:r>
        <w:rPr>
          <w:rFonts w:cs="仿宋_GB2312"/>
          <w:color w:val="auto"/>
          <w:kern w:val="2"/>
          <w:sz w:val="32"/>
          <w:szCs w:val="32"/>
        </w:rPr>
        <w:t>“</w:t>
      </w:r>
      <w:r>
        <w:rPr>
          <w:rFonts w:hint="eastAsia" w:cs="仿宋_GB2312"/>
          <w:color w:val="auto"/>
          <w:kern w:val="2"/>
          <w:sz w:val="32"/>
          <w:szCs w:val="32"/>
        </w:rPr>
        <w:t>财政拨款收入</w:t>
      </w:r>
      <w:r>
        <w:rPr>
          <w:rFonts w:cs="仿宋_GB2312"/>
          <w:color w:val="auto"/>
          <w:kern w:val="2"/>
          <w:sz w:val="32"/>
          <w:szCs w:val="32"/>
        </w:rPr>
        <w:t>”</w:t>
      </w:r>
      <w:r>
        <w:rPr>
          <w:rFonts w:hint="eastAsia" w:cs="仿宋_GB2312"/>
          <w:color w:val="auto"/>
          <w:kern w:val="2"/>
          <w:sz w:val="32"/>
          <w:szCs w:val="32"/>
        </w:rPr>
        <w:t>、</w:t>
      </w:r>
      <w:r>
        <w:rPr>
          <w:rFonts w:cs="仿宋_GB2312"/>
          <w:color w:val="auto"/>
          <w:kern w:val="2"/>
          <w:sz w:val="32"/>
          <w:szCs w:val="32"/>
        </w:rPr>
        <w:t>“</w:t>
      </w:r>
      <w:r>
        <w:rPr>
          <w:rFonts w:hint="eastAsia" w:cs="仿宋_GB2312"/>
          <w:color w:val="auto"/>
          <w:kern w:val="2"/>
          <w:sz w:val="32"/>
          <w:szCs w:val="32"/>
        </w:rPr>
        <w:t>事业收入</w:t>
      </w:r>
      <w:r>
        <w:rPr>
          <w:rFonts w:cs="仿宋_GB2312"/>
          <w:color w:val="auto"/>
          <w:kern w:val="2"/>
          <w:sz w:val="32"/>
          <w:szCs w:val="32"/>
        </w:rPr>
        <w:t>”</w:t>
      </w:r>
      <w:r>
        <w:rPr>
          <w:rFonts w:hint="eastAsia" w:cs="仿宋_GB2312"/>
          <w:color w:val="auto"/>
          <w:kern w:val="2"/>
          <w:sz w:val="32"/>
          <w:szCs w:val="32"/>
        </w:rPr>
        <w:t>、</w:t>
      </w:r>
      <w:r>
        <w:rPr>
          <w:rFonts w:cs="仿宋_GB2312"/>
          <w:color w:val="auto"/>
          <w:kern w:val="2"/>
          <w:sz w:val="32"/>
          <w:szCs w:val="32"/>
        </w:rPr>
        <w:t>“</w:t>
      </w:r>
      <w:r>
        <w:rPr>
          <w:rFonts w:hint="eastAsia" w:cs="仿宋_GB2312"/>
          <w:color w:val="auto"/>
          <w:kern w:val="2"/>
          <w:sz w:val="32"/>
          <w:szCs w:val="32"/>
        </w:rPr>
        <w:t>事业单位经营收入</w:t>
      </w:r>
      <w:r>
        <w:rPr>
          <w:rFonts w:cs="仿宋_GB2312"/>
          <w:color w:val="auto"/>
          <w:kern w:val="2"/>
          <w:sz w:val="32"/>
          <w:szCs w:val="32"/>
        </w:rPr>
        <w:t>”</w:t>
      </w:r>
      <w:r>
        <w:rPr>
          <w:rFonts w:hint="eastAsia" w:cs="仿宋_GB2312"/>
          <w:color w:val="auto"/>
          <w:kern w:val="2"/>
          <w:sz w:val="32"/>
          <w:szCs w:val="32"/>
        </w:rPr>
        <w:t>、</w:t>
      </w:r>
      <w:r>
        <w:rPr>
          <w:rFonts w:cs="仿宋_GB2312"/>
          <w:color w:val="auto"/>
          <w:kern w:val="2"/>
          <w:sz w:val="32"/>
          <w:szCs w:val="32"/>
        </w:rPr>
        <w:t>“</w:t>
      </w:r>
      <w:r>
        <w:rPr>
          <w:rFonts w:hint="eastAsia" w:cs="仿宋_GB2312"/>
          <w:color w:val="auto"/>
          <w:kern w:val="2"/>
          <w:sz w:val="32"/>
          <w:szCs w:val="32"/>
        </w:rPr>
        <w:t>其他收入</w:t>
      </w:r>
      <w:r>
        <w:rPr>
          <w:rFonts w:cs="仿宋_GB2312"/>
          <w:color w:val="auto"/>
          <w:kern w:val="2"/>
          <w:sz w:val="32"/>
          <w:szCs w:val="32"/>
        </w:rPr>
        <w:t>”</w:t>
      </w:r>
      <w:r>
        <w:rPr>
          <w:rFonts w:hint="eastAsia" w:cs="仿宋_GB2312"/>
          <w:color w:val="auto"/>
          <w:kern w:val="2"/>
          <w:sz w:val="32"/>
          <w:szCs w:val="32"/>
        </w:rPr>
        <w:t>不足以安排当年支出的情况下，使用以前年度积累的事业基金弥补本年度收支缺口的资金。</w:t>
      </w:r>
      <w:r>
        <w:rPr>
          <w:rFonts w:cs="仿宋_GB2312"/>
          <w:color w:val="auto"/>
          <w:kern w:val="2"/>
          <w:sz w:val="32"/>
          <w:szCs w:val="32"/>
        </w:rPr>
        <w:br w:type="textWrapping"/>
      </w:r>
      <w:r>
        <w:rPr>
          <w:rFonts w:hint="eastAsia" w:cs="仿宋_GB2312"/>
          <w:color w:val="auto"/>
          <w:kern w:val="2"/>
          <w:sz w:val="32"/>
          <w:szCs w:val="32"/>
        </w:rPr>
        <w:t>　</w:t>
      </w:r>
      <w:r>
        <w:rPr>
          <w:rFonts w:hint="eastAsia" w:ascii="楷体" w:eastAsia="楷体" w:cs="仿宋_GB2312"/>
          <w:color w:val="auto"/>
          <w:kern w:val="2"/>
          <w:sz w:val="32"/>
          <w:szCs w:val="32"/>
        </w:rPr>
        <w:t>　（六）上年结转</w:t>
      </w:r>
      <w:r>
        <w:rPr>
          <w:rFonts w:hint="eastAsia" w:cs="仿宋_GB2312"/>
          <w:color w:val="auto"/>
          <w:kern w:val="2"/>
          <w:sz w:val="32"/>
          <w:szCs w:val="32"/>
        </w:rPr>
        <w:t>：指所属行政事业单位以前年度尚未完成、结转至本年按原规定用途继续使用的资金和以前年度已完成项目剩余资金经批准用于新用途使用的资金。</w:t>
      </w:r>
    </w:p>
    <w:p w14:paraId="50D5505A">
      <w:pPr>
        <w:rPr>
          <w:rFonts w:ascii="仿宋_GB2312" w:eastAsia="仿宋_GB2312" w:cs="仿宋_GB2312"/>
          <w:color w:val="auto"/>
          <w:sz w:val="32"/>
          <w:szCs w:val="32"/>
        </w:rPr>
      </w:pPr>
    </w:p>
    <w:sectPr>
      <w:head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楷体_GB2312">
    <w:panose1 w:val="02010609030101010101"/>
    <w:charset w:val="86"/>
    <w:family w:val="modern"/>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6FCDC2">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26886B"/>
    <w:multiLevelType w:val="singleLevel"/>
    <w:tmpl w:val="1526886B"/>
    <w:lvl w:ilvl="0" w:tentative="0">
      <w:start w:val="2"/>
      <w:numFmt w:val="chineseCounting"/>
      <w:suff w:val="nothing"/>
      <w:lvlText w:val="（%1）"/>
      <w:lvlJc w:val="left"/>
      <w:pPr>
        <w:ind w:left="640" w:leftChars="0" w:firstLine="0" w:firstLineChars="0"/>
      </w:pPr>
      <w:rPr>
        <w:rFonts w:hint="eastAsia"/>
      </w:rPr>
    </w:lvl>
  </w:abstractNum>
  <w:abstractNum w:abstractNumId="1">
    <w:nsid w:val="47D03D20"/>
    <w:multiLevelType w:val="multilevel"/>
    <w:tmpl w:val="47D03D20"/>
    <w:lvl w:ilvl="0" w:tentative="0">
      <w:start w:val="2"/>
      <w:numFmt w:val="japaneseCounting"/>
      <w:lvlText w:val="%1、"/>
      <w:lvlJc w:val="left"/>
      <w:pPr>
        <w:tabs>
          <w:tab w:val="left" w:pos="0"/>
        </w:tabs>
        <w:ind w:left="1360" w:hanging="720"/>
      </w:pPr>
      <w:rPr>
        <w:rFonts w:hint="default"/>
      </w:rPr>
    </w:lvl>
    <w:lvl w:ilvl="1" w:tentative="0">
      <w:start w:val="1"/>
      <w:numFmt w:val="lowerLetter"/>
      <w:lvlText w:val="%2)"/>
      <w:lvlJc w:val="left"/>
      <w:pPr>
        <w:tabs>
          <w:tab w:val="left" w:pos="0"/>
        </w:tabs>
        <w:ind w:left="1480" w:hanging="420"/>
      </w:pPr>
    </w:lvl>
    <w:lvl w:ilvl="2" w:tentative="0">
      <w:start w:val="1"/>
      <w:numFmt w:val="lowerRoman"/>
      <w:lvlText w:val="%3."/>
      <w:lvlJc w:val="right"/>
      <w:pPr>
        <w:tabs>
          <w:tab w:val="left" w:pos="0"/>
        </w:tabs>
        <w:ind w:left="1900" w:hanging="420"/>
      </w:pPr>
    </w:lvl>
    <w:lvl w:ilvl="3" w:tentative="0">
      <w:start w:val="1"/>
      <w:numFmt w:val="decimal"/>
      <w:lvlText w:val="%4."/>
      <w:lvlJc w:val="left"/>
      <w:pPr>
        <w:tabs>
          <w:tab w:val="left" w:pos="0"/>
        </w:tabs>
        <w:ind w:left="2320" w:hanging="420"/>
      </w:pPr>
    </w:lvl>
    <w:lvl w:ilvl="4" w:tentative="0">
      <w:start w:val="1"/>
      <w:numFmt w:val="lowerLetter"/>
      <w:lvlText w:val="%5)"/>
      <w:lvlJc w:val="left"/>
      <w:pPr>
        <w:tabs>
          <w:tab w:val="left" w:pos="0"/>
        </w:tabs>
        <w:ind w:left="2740" w:hanging="420"/>
      </w:pPr>
    </w:lvl>
    <w:lvl w:ilvl="5" w:tentative="0">
      <w:start w:val="1"/>
      <w:numFmt w:val="lowerRoman"/>
      <w:lvlText w:val="%6."/>
      <w:lvlJc w:val="right"/>
      <w:pPr>
        <w:tabs>
          <w:tab w:val="left" w:pos="0"/>
        </w:tabs>
        <w:ind w:left="3160" w:hanging="420"/>
      </w:pPr>
    </w:lvl>
    <w:lvl w:ilvl="6" w:tentative="0">
      <w:start w:val="1"/>
      <w:numFmt w:val="decimal"/>
      <w:lvlText w:val="%7."/>
      <w:lvlJc w:val="left"/>
      <w:pPr>
        <w:tabs>
          <w:tab w:val="left" w:pos="0"/>
        </w:tabs>
        <w:ind w:left="3580" w:hanging="420"/>
      </w:pPr>
    </w:lvl>
    <w:lvl w:ilvl="7" w:tentative="0">
      <w:start w:val="1"/>
      <w:numFmt w:val="lowerLetter"/>
      <w:lvlText w:val="%8)"/>
      <w:lvlJc w:val="left"/>
      <w:pPr>
        <w:tabs>
          <w:tab w:val="left" w:pos="0"/>
        </w:tabs>
        <w:ind w:left="4000" w:hanging="420"/>
      </w:pPr>
    </w:lvl>
    <w:lvl w:ilvl="8" w:tentative="0">
      <w:start w:val="1"/>
      <w:numFmt w:val="lowerRoman"/>
      <w:lvlText w:val="%9."/>
      <w:lvlJc w:val="right"/>
      <w:pPr>
        <w:tabs>
          <w:tab w:val="left" w:pos="0"/>
        </w:tabs>
        <w:ind w:left="442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useFELayout/>
    <w:compatSetting w:name="compatibilityMode" w:uri="http://schemas.microsoft.com/office/word" w:val="14"/>
  </w:compat>
  <w:rsids>
    <w:rsidRoot w:val="00000000"/>
    <w:rsid w:val="01FD609D"/>
    <w:rsid w:val="02E07556"/>
    <w:rsid w:val="06AB60C8"/>
    <w:rsid w:val="0B2823DD"/>
    <w:rsid w:val="0E2A1FC8"/>
    <w:rsid w:val="11731ED8"/>
    <w:rsid w:val="13196ECF"/>
    <w:rsid w:val="136C3083"/>
    <w:rsid w:val="14E05AD6"/>
    <w:rsid w:val="173841CE"/>
    <w:rsid w:val="1B193AF0"/>
    <w:rsid w:val="1B5E59A7"/>
    <w:rsid w:val="1B8F3DB2"/>
    <w:rsid w:val="1D525E96"/>
    <w:rsid w:val="1E213740"/>
    <w:rsid w:val="1E6D6A00"/>
    <w:rsid w:val="23464514"/>
    <w:rsid w:val="269404CF"/>
    <w:rsid w:val="26CD04B3"/>
    <w:rsid w:val="27A110F5"/>
    <w:rsid w:val="281F7C38"/>
    <w:rsid w:val="33545EF6"/>
    <w:rsid w:val="3A2D4F75"/>
    <w:rsid w:val="3E1677FC"/>
    <w:rsid w:val="41513946"/>
    <w:rsid w:val="429A3042"/>
    <w:rsid w:val="438A7E48"/>
    <w:rsid w:val="43D97C3A"/>
    <w:rsid w:val="4521341D"/>
    <w:rsid w:val="456D298D"/>
    <w:rsid w:val="474451A1"/>
    <w:rsid w:val="488F68F0"/>
    <w:rsid w:val="49536C90"/>
    <w:rsid w:val="4B5A1437"/>
    <w:rsid w:val="4BDB6B49"/>
    <w:rsid w:val="4F053468"/>
    <w:rsid w:val="509A2660"/>
    <w:rsid w:val="52FB52AE"/>
    <w:rsid w:val="58C66E4D"/>
    <w:rsid w:val="5A4E2480"/>
    <w:rsid w:val="5C5B1FE4"/>
    <w:rsid w:val="626B237D"/>
    <w:rsid w:val="63AF6FF7"/>
    <w:rsid w:val="6A333359"/>
    <w:rsid w:val="6C2D36C2"/>
    <w:rsid w:val="6DAE1443"/>
    <w:rsid w:val="6FEA24DA"/>
    <w:rsid w:val="732857F3"/>
    <w:rsid w:val="75370059"/>
    <w:rsid w:val="75C94940"/>
    <w:rsid w:val="762B73A9"/>
    <w:rsid w:val="76803930"/>
    <w:rsid w:val="78134CBD"/>
    <w:rsid w:val="786848E4"/>
    <w:rsid w:val="7A4D09CC"/>
    <w:rsid w:val="7B0728C0"/>
    <w:rsid w:val="7B9F061D"/>
    <w:rsid w:val="7CDE705B"/>
    <w:rsid w:val="7E157ED2"/>
    <w:rsid w:val="7ED449E4"/>
    <w:rsid w:val="7F1255AA"/>
    <w:rsid w:val="7F6A2CF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uiPriority w:val="0"/>
    <w:pPr>
      <w:keepNext/>
      <w:keepLines/>
      <w:widowControl w:val="0"/>
      <w:spacing w:before="340" w:after="330" w:line="578" w:lineRule="auto"/>
      <w:outlineLvl w:val="0"/>
    </w:pPr>
    <w:rPr>
      <w:b/>
      <w:bCs/>
      <w:kern w:val="44"/>
      <w:sz w:val="44"/>
    </w:rPr>
  </w:style>
  <w:style w:type="paragraph" w:styleId="4">
    <w:name w:val="heading 2"/>
    <w:basedOn w:val="1"/>
    <w:next w:val="1"/>
    <w:qFormat/>
    <w:uiPriority w:val="0"/>
    <w:pPr>
      <w:keepNext/>
      <w:keepLines/>
      <w:widowControl w:val="0"/>
      <w:spacing w:before="260" w:after="260" w:line="415" w:lineRule="auto"/>
      <w:outlineLvl w:val="1"/>
    </w:pPr>
    <w:rPr>
      <w:rFonts w:ascii="Arial" w:hAnsi="Arial" w:eastAsia="黑体"/>
      <w:b/>
      <w:sz w:val="32"/>
    </w:rPr>
  </w:style>
  <w:style w:type="paragraph" w:styleId="5">
    <w:name w:val="heading 3"/>
    <w:basedOn w:val="1"/>
    <w:next w:val="1"/>
    <w:qFormat/>
    <w:uiPriority w:val="0"/>
    <w:pPr>
      <w:keepNext/>
      <w:keepLines/>
      <w:widowControl w:val="0"/>
      <w:spacing w:before="260" w:after="260" w:line="415" w:lineRule="auto"/>
      <w:outlineLvl w:val="2"/>
    </w:pPr>
    <w:rPr>
      <w:b/>
      <w:sz w:val="32"/>
    </w:rPr>
  </w:style>
  <w:style w:type="character" w:default="1" w:styleId="9">
    <w:name w:val="Default Paragraph Font"/>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customStyle="1" w:styleId="2">
    <w:name w:val="Default"/>
    <w:next w:val="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List Paragraph"/>
    <w:basedOn w:val="1"/>
    <w:qFormat/>
    <w:uiPriority w:val="0"/>
    <w:pPr>
      <w:ind w:firstLine="200" w:firstLineChars="200"/>
    </w:pPr>
  </w:style>
  <w:style w:type="paragraph" w:customStyle="1" w:styleId="11">
    <w:name w:val="正文文本1"/>
    <w:basedOn w:val="1"/>
    <w:qFormat/>
    <w:uiPriority w:val="0"/>
    <w:pPr>
      <w:spacing w:before="93"/>
    </w:pPr>
    <w:rPr>
      <w:rFonts w:ascii="仿宋_GB2312" w:eastAsia="仿宋_GB2312"/>
      <w:kern w:val="0"/>
      <w:sz w:val="30"/>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Normal.eit</Template>
  <Pages>9</Pages>
  <Words>3093</Words>
  <Characters>3554</Characters>
  <Lines>124</Lines>
  <Paragraphs>51</Paragraphs>
  <TotalTime>26</TotalTime>
  <ScaleCrop>false</ScaleCrop>
  <LinksUpToDate>false</LinksUpToDate>
  <CharactersWithSpaces>3581</CharactersWithSpaces>
  <Application>WPS Office_12.1.0.20305_F1E327BC-269C-435d-A152-05C5408002CA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2022-12-30T09:44:00Z</dcterms:created>
  <dc:creator>疯丫头。。</dc:creator>
  <cp:lastModifiedBy>Administrator</cp:lastModifiedBy>
  <cp:lastPrinted>2018-01-30T09:39:00Z</cp:lastPrinted>
  <dcterms:modified xsi:type="dcterms:W3CDTF">2025-02-24T08:53:17Z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eyJoZGlkIjoiM2QyOWQ4ODY3Yjc4ODM2MGIwNmJlMTczNGMwOTkyNGEifQ==</vt:lpwstr>
  </property>
  <property fmtid="{D5CDD505-2E9C-101B-9397-08002B2CF9AE}" pid="4" name="ICV">
    <vt:lpwstr>1F99518FA7AF4676A91882994D58172C_12</vt:lpwstr>
  </property>
</Properties>
</file>