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2206F5">
      <w:pPr>
        <w:pageBreakBefore w:val="0"/>
        <w:kinsoku/>
        <w:wordWrap/>
        <w:overflowPunct/>
        <w:topLinePunct w:val="0"/>
        <w:bidi w:val="0"/>
        <w:spacing w:line="440" w:lineRule="exact"/>
        <w:jc w:val="center"/>
        <w:outlineLvl w:val="0"/>
        <w:rPr>
          <w:rFonts w:ascii="方正小标宋简体" w:hAnsi="宋体" w:eastAsia="方正小标宋简体"/>
          <w:sz w:val="72"/>
          <w:szCs w:val="72"/>
        </w:rPr>
      </w:pPr>
      <w:bookmarkStart w:id="0" w:name="_Toc15377193"/>
      <w:bookmarkStart w:id="1" w:name="_Toc15396597"/>
      <w:bookmarkStart w:id="2" w:name="_Toc15378441"/>
      <w:bookmarkStart w:id="3" w:name="_Toc15377425"/>
      <w:bookmarkStart w:id="4" w:name="_Toc15396475"/>
      <w:bookmarkStart w:id="5" w:name="_Toc15306267"/>
    </w:p>
    <w:p w14:paraId="57A1DE6E">
      <w:pPr>
        <w:pStyle w:val="6"/>
        <w:pageBreakBefore w:val="0"/>
        <w:kinsoku/>
        <w:wordWrap/>
        <w:overflowPunct/>
        <w:topLinePunct w:val="0"/>
        <w:bidi w:val="0"/>
        <w:spacing w:before="93" w:line="440" w:lineRule="exact"/>
      </w:pPr>
    </w:p>
    <w:p w14:paraId="1EA01BC1">
      <w:pPr>
        <w:pageBreakBefore w:val="0"/>
        <w:kinsoku/>
        <w:wordWrap/>
        <w:overflowPunct/>
        <w:topLinePunct w:val="0"/>
        <w:bidi w:val="0"/>
        <w:spacing w:line="440" w:lineRule="exact"/>
        <w:jc w:val="center"/>
        <w:outlineLvl w:val="0"/>
        <w:rPr>
          <w:rFonts w:ascii="方正小标宋简体" w:hAnsi="宋体" w:eastAsia="方正小标宋简体"/>
          <w:sz w:val="72"/>
          <w:szCs w:val="72"/>
        </w:rPr>
      </w:pPr>
    </w:p>
    <w:p w14:paraId="1BE6F95F">
      <w:pPr>
        <w:pageBreakBefore w:val="0"/>
        <w:kinsoku/>
        <w:wordWrap/>
        <w:overflowPunct/>
        <w:topLinePunct w:val="0"/>
        <w:bidi w:val="0"/>
        <w:spacing w:line="440" w:lineRule="exact"/>
        <w:jc w:val="center"/>
        <w:outlineLvl w:val="0"/>
        <w:rPr>
          <w:rFonts w:ascii="方正小标宋简体" w:hAnsi="宋体" w:eastAsia="方正小标宋简体"/>
          <w:sz w:val="72"/>
          <w:szCs w:val="72"/>
        </w:rPr>
      </w:pPr>
    </w:p>
    <w:p w14:paraId="0068638C">
      <w:pPr>
        <w:pageBreakBefore w:val="0"/>
        <w:kinsoku/>
        <w:wordWrap/>
        <w:overflowPunct/>
        <w:topLinePunct w:val="0"/>
        <w:bidi w:val="0"/>
        <w:adjustRightInd w:val="0"/>
        <w:snapToGrid w:val="0"/>
        <w:spacing w:line="440" w:lineRule="exact"/>
        <w:jc w:val="center"/>
        <w:outlineLvl w:val="0"/>
        <w:rPr>
          <w:rFonts w:hint="eastAsia" w:ascii="方正小标宋简体" w:hAnsi="方正小标宋简体" w:eastAsia="方正小标宋简体" w:cs="方正小标宋简体"/>
          <w:sz w:val="72"/>
          <w:szCs w:val="72"/>
        </w:rPr>
      </w:pPr>
    </w:p>
    <w:p w14:paraId="4388F948">
      <w:pPr>
        <w:pStyle w:val="3"/>
        <w:bidi w:val="0"/>
        <w:jc w:val="center"/>
        <w:rPr>
          <w:rFonts w:hint="eastAsia" w:ascii="黑体" w:hAnsi="黑体" w:eastAsia="黑体"/>
          <w:sz w:val="52"/>
          <w:szCs w:val="52"/>
          <w:lang w:val="en-US" w:eastAsia="zh-CN"/>
        </w:rPr>
      </w:pPr>
      <w:r>
        <w:rPr>
          <w:rFonts w:hint="eastAsia" w:ascii="黑体" w:hAnsi="黑体" w:eastAsia="黑体"/>
          <w:sz w:val="52"/>
          <w:szCs w:val="52"/>
        </w:rPr>
        <w:t>2023年度</w:t>
      </w:r>
      <w:bookmarkEnd w:id="0"/>
      <w:bookmarkEnd w:id="1"/>
      <w:bookmarkEnd w:id="2"/>
      <w:bookmarkEnd w:id="3"/>
      <w:bookmarkEnd w:id="4"/>
      <w:r>
        <w:rPr>
          <w:rFonts w:hint="eastAsia" w:ascii="黑体" w:hAnsi="黑体" w:eastAsia="黑体"/>
          <w:sz w:val="52"/>
          <w:szCs w:val="52"/>
          <w:lang w:val="en-US" w:eastAsia="zh-CN"/>
        </w:rPr>
        <w:t>阿坝州</w:t>
      </w:r>
    </w:p>
    <w:bookmarkEnd w:id="5"/>
    <w:p w14:paraId="625E6D4F">
      <w:pPr>
        <w:pStyle w:val="3"/>
        <w:bidi w:val="0"/>
        <w:jc w:val="center"/>
        <w:rPr>
          <w:rFonts w:hint="eastAsia" w:eastAsia="黑体"/>
          <w:sz w:val="52"/>
          <w:szCs w:val="52"/>
          <w:lang w:val="en-US" w:eastAsia="zh-CN"/>
        </w:rPr>
      </w:pPr>
      <w:bookmarkStart w:id="6" w:name="_Toc15396476"/>
      <w:bookmarkStart w:id="7" w:name="_Toc15377194"/>
      <w:bookmarkStart w:id="8" w:name="_Toc15378442"/>
      <w:bookmarkStart w:id="9" w:name="_Toc15396598"/>
      <w:bookmarkStart w:id="10" w:name="_Toc15377426"/>
      <w:bookmarkStart w:id="11" w:name="_Toc15306268"/>
      <w:r>
        <w:rPr>
          <w:rFonts w:hint="eastAsia" w:ascii="黑体" w:hAnsi="黑体" w:eastAsia="黑体"/>
          <w:sz w:val="52"/>
          <w:szCs w:val="52"/>
          <w:lang w:val="en-US" w:eastAsia="zh-CN"/>
        </w:rPr>
        <w:t>达古冰川管理局</w:t>
      </w:r>
      <w:r>
        <w:rPr>
          <w:rFonts w:hint="eastAsia" w:ascii="黑体" w:hAnsi="黑体" w:eastAsia="黑体"/>
          <w:sz w:val="52"/>
          <w:szCs w:val="52"/>
        </w:rPr>
        <w:t>部门决算</w:t>
      </w:r>
      <w:bookmarkEnd w:id="6"/>
      <w:bookmarkEnd w:id="7"/>
      <w:bookmarkEnd w:id="8"/>
      <w:bookmarkEnd w:id="9"/>
      <w:bookmarkEnd w:id="10"/>
      <w:bookmarkEnd w:id="11"/>
      <w:r>
        <w:rPr>
          <w:rFonts w:hint="eastAsia" w:ascii="黑体" w:hAnsi="黑体" w:eastAsia="黑体"/>
          <w:sz w:val="52"/>
          <w:szCs w:val="52"/>
          <w:lang w:val="en-US" w:eastAsia="zh-CN"/>
        </w:rPr>
        <w:t>公开</w:t>
      </w:r>
    </w:p>
    <w:p w14:paraId="1F36256B">
      <w:pPr>
        <w:pStyle w:val="3"/>
        <w:bidi w:val="0"/>
        <w:jc w:val="center"/>
        <w:rPr>
          <w:rFonts w:ascii="黑体" w:hAnsi="黑体" w:eastAsia="黑体" w:cstheme="minorBidi"/>
          <w:sz w:val="28"/>
          <w:szCs w:val="28"/>
        </w:rPr>
      </w:pPr>
      <w:r>
        <w:rPr>
          <w:sz w:val="72"/>
          <w:szCs w:val="72"/>
        </w:rPr>
        <w:br w:type="page"/>
      </w:r>
      <w:r>
        <w:rPr>
          <w:rFonts w:hint="eastAsia" w:ascii="黑体" w:hAnsi="黑体" w:eastAsia="黑体"/>
          <w:szCs w:val="48"/>
        </w:rPr>
        <w:t>目录</w:t>
      </w:r>
    </w:p>
    <w:p w14:paraId="561C8706">
      <w:pPr>
        <w:pStyle w:val="12"/>
        <w:pageBreakBefore w:val="0"/>
        <w:kinsoku/>
        <w:wordWrap/>
        <w:overflowPunct/>
        <w:topLinePunct w:val="0"/>
        <w:bidi w:val="0"/>
        <w:spacing w:line="440" w:lineRule="exact"/>
        <w:rPr>
          <w:rFonts w:hint="eastAsia" w:ascii="仿宋_GB2312" w:hAnsi="仿宋_GB2312" w:eastAsia="仿宋_GB2312" w:cs="仿宋_GB2312"/>
          <w:color w:val="auto"/>
          <w:kern w:val="2"/>
          <w:sz w:val="32"/>
          <w:szCs w:val="32"/>
          <w:lang w:val="zh-CN" w:eastAsia="zh-CN" w:bidi="ar-SA"/>
        </w:rPr>
      </w:pPr>
      <w:r>
        <w:rPr>
          <w:rFonts w:hint="eastAsia" w:ascii="仿宋_GB2312" w:hAnsi="仿宋_GB2312" w:eastAsia="仿宋_GB2312" w:cs="仿宋_GB2312"/>
          <w:color w:val="auto"/>
          <w:kern w:val="2"/>
          <w:sz w:val="32"/>
          <w:szCs w:val="32"/>
          <w:lang w:val="zh-CN" w:eastAsia="zh-CN" w:bidi="ar-SA"/>
        </w:rPr>
        <w:t>公开时间：2023年</w:t>
      </w:r>
      <w:r>
        <w:rPr>
          <w:rFonts w:hint="eastAsia" w:ascii="仿宋_GB2312" w:hAnsi="仿宋_GB2312" w:eastAsia="仿宋_GB2312" w:cs="仿宋_GB2312"/>
          <w:color w:val="auto"/>
          <w:kern w:val="2"/>
          <w:sz w:val="32"/>
          <w:szCs w:val="32"/>
          <w:lang w:val="en-US" w:eastAsia="zh-CN" w:bidi="ar-SA"/>
        </w:rPr>
        <w:t>9</w:t>
      </w:r>
      <w:r>
        <w:rPr>
          <w:rFonts w:hint="eastAsia" w:ascii="仿宋_GB2312" w:hAnsi="仿宋_GB2312" w:eastAsia="仿宋_GB2312" w:cs="仿宋_GB2312"/>
          <w:color w:val="auto"/>
          <w:kern w:val="2"/>
          <w:sz w:val="32"/>
          <w:szCs w:val="32"/>
          <w:lang w:val="zh-CN" w:eastAsia="zh-CN" w:bidi="ar-SA"/>
        </w:rPr>
        <w:t>月</w:t>
      </w:r>
      <w:r>
        <w:rPr>
          <w:rFonts w:hint="eastAsia" w:ascii="仿宋_GB2312" w:hAnsi="仿宋_GB2312" w:eastAsia="仿宋_GB2312" w:cs="仿宋_GB2312"/>
          <w:color w:val="auto"/>
          <w:kern w:val="2"/>
          <w:sz w:val="32"/>
          <w:szCs w:val="32"/>
          <w:lang w:val="en-US" w:eastAsia="zh-CN" w:bidi="ar-SA"/>
        </w:rPr>
        <w:t>18</w:t>
      </w:r>
      <w:r>
        <w:rPr>
          <w:rFonts w:hint="eastAsia" w:ascii="仿宋_GB2312" w:hAnsi="仿宋_GB2312" w:eastAsia="仿宋_GB2312" w:cs="仿宋_GB2312"/>
          <w:color w:val="auto"/>
          <w:kern w:val="2"/>
          <w:sz w:val="32"/>
          <w:szCs w:val="32"/>
          <w:lang w:val="zh-CN" w:eastAsia="zh-CN" w:bidi="ar-SA"/>
        </w:rPr>
        <w:t>日</w:t>
      </w:r>
    </w:p>
    <w:p w14:paraId="4D0190B6">
      <w:pPr>
        <w:pageBreakBefore w:val="0"/>
        <w:kinsoku/>
        <w:wordWrap/>
        <w:overflowPunct/>
        <w:topLinePunct w:val="0"/>
        <w:bidi w:val="0"/>
        <w:spacing w:line="440" w:lineRule="exact"/>
        <w:rPr>
          <w:rFonts w:hint="eastAsia" w:ascii="仿宋_GB2312" w:hAnsi="仿宋_GB2312" w:eastAsia="仿宋_GB2312" w:cs="仿宋_GB2312"/>
          <w:color w:val="auto"/>
          <w:kern w:val="2"/>
          <w:sz w:val="32"/>
          <w:szCs w:val="32"/>
          <w:lang w:val="en-US" w:eastAsia="zh-CN" w:bidi="ar-SA"/>
        </w:rPr>
      </w:pPr>
    </w:p>
    <w:p w14:paraId="2A419482">
      <w:pPr>
        <w:pStyle w:val="12"/>
        <w:pageBreakBefore w:val="0"/>
        <w:kinsoku/>
        <w:wordWrap/>
        <w:overflowPunct/>
        <w:topLinePunct w:val="0"/>
        <w:bidi w:val="0"/>
        <w:adjustRightInd w:val="0"/>
        <w:snapToGrid w:val="0"/>
        <w:spacing w:before="0"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第一部分 部门概况</w:t>
      </w:r>
    </w:p>
    <w:p w14:paraId="0E571876">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一、部门职责</w:t>
      </w:r>
    </w:p>
    <w:p w14:paraId="7EA61563">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二、机构设置</w:t>
      </w:r>
      <w:bookmarkStart w:id="50" w:name="_GoBack"/>
      <w:bookmarkEnd w:id="50"/>
    </w:p>
    <w:p w14:paraId="189DB018">
      <w:pPr>
        <w:pStyle w:val="12"/>
        <w:pageBreakBefore w:val="0"/>
        <w:kinsoku/>
        <w:wordWrap/>
        <w:overflowPunct/>
        <w:topLinePunct w:val="0"/>
        <w:bidi w:val="0"/>
        <w:adjustRightInd w:val="0"/>
        <w:snapToGrid w:val="0"/>
        <w:spacing w:before="0"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第二部分 2023年度部门决算情况说明</w:t>
      </w:r>
    </w:p>
    <w:p w14:paraId="1455C7CC">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一、收入支出决算总体情况说明</w:t>
      </w:r>
    </w:p>
    <w:p w14:paraId="5A08B221">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二、收入决算情况说明</w:t>
      </w:r>
    </w:p>
    <w:p w14:paraId="0CD3C45F">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三、支出决算情况说明</w:t>
      </w:r>
    </w:p>
    <w:p w14:paraId="501F3796">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四、财政拨款收入支出决算总体情况说明</w:t>
      </w:r>
    </w:p>
    <w:p w14:paraId="05979DE9">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五、一般公共预算财政拨款支出决算情况说明</w:t>
      </w:r>
    </w:p>
    <w:p w14:paraId="5926D1FE">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六、一般公共预算财政拨款基本支出决算情况说明</w:t>
      </w:r>
    </w:p>
    <w:p w14:paraId="6E8ED372">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七、财政拨款“三公”经费支出决算情况说明</w:t>
      </w:r>
    </w:p>
    <w:p w14:paraId="37BB6514">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八、政府性基金预算支出决算情况说明</w:t>
      </w:r>
    </w:p>
    <w:p w14:paraId="01F97E92">
      <w:pPr>
        <w:pStyle w:val="14"/>
        <w:pageBreakBefore w:val="0"/>
        <w:kinsoku/>
        <w:wordWrap/>
        <w:overflowPunct/>
        <w:topLinePunct w:val="0"/>
        <w:bidi w:val="0"/>
        <w:adjustRightInd w:val="0"/>
        <w:snapToGrid w:val="0"/>
        <w:spacing w:line="440" w:lineRule="exact"/>
        <w:ind w:leftChars="0"/>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九、国有资本经营预算支出决算情况说明</w:t>
      </w:r>
    </w:p>
    <w:p w14:paraId="3DE6A1E7">
      <w:pPr>
        <w:pageBreakBefore w:val="0"/>
        <w:kinsoku/>
        <w:wordWrap/>
        <w:overflowPunct/>
        <w:topLinePunct w:val="0"/>
        <w:bidi w:val="0"/>
        <w:adjustRightInd w:val="0"/>
        <w:snapToGrid w:val="0"/>
        <w:spacing w:line="440" w:lineRule="exact"/>
        <w:ind w:firstLine="560" w:firstLineChars="175"/>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十、其他重要事项的情况说明</w:t>
      </w:r>
      <w:r>
        <w:rPr>
          <w:rFonts w:hint="eastAsia" w:ascii="仿宋_GB2312" w:hAnsi="仿宋_GB2312" w:eastAsia="仿宋_GB2312" w:cs="仿宋_GB2312"/>
          <w:color w:val="auto"/>
          <w:kern w:val="2"/>
          <w:sz w:val="32"/>
          <w:szCs w:val="32"/>
          <w:lang w:val="en-US" w:eastAsia="zh-CN" w:bidi="ar-SA"/>
        </w:rPr>
        <w:tab/>
      </w:r>
    </w:p>
    <w:p w14:paraId="714C3FCA">
      <w:pPr>
        <w:pStyle w:val="12"/>
        <w:pageBreakBefore w:val="0"/>
        <w:kinsoku/>
        <w:wordWrap/>
        <w:overflowPunct/>
        <w:topLinePunct w:val="0"/>
        <w:bidi w:val="0"/>
        <w:adjustRightInd w:val="0"/>
        <w:snapToGrid w:val="0"/>
        <w:spacing w:before="0"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第三部分 名词解释</w:t>
      </w:r>
    </w:p>
    <w:p w14:paraId="18179BCF">
      <w:pPr>
        <w:pStyle w:val="12"/>
        <w:pageBreakBefore w:val="0"/>
        <w:kinsoku/>
        <w:wordWrap/>
        <w:overflowPunct/>
        <w:topLinePunct w:val="0"/>
        <w:bidi w:val="0"/>
        <w:adjustRightInd w:val="0"/>
        <w:snapToGrid w:val="0"/>
        <w:spacing w:before="0"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第四部分 附件</w:t>
      </w:r>
    </w:p>
    <w:p w14:paraId="5DA9DBFA">
      <w:pPr>
        <w:pStyle w:val="12"/>
        <w:pageBreakBefore w:val="0"/>
        <w:kinsoku/>
        <w:wordWrap/>
        <w:overflowPunct/>
        <w:topLinePunct w:val="0"/>
        <w:bidi w:val="0"/>
        <w:adjustRightInd w:val="0"/>
        <w:snapToGrid w:val="0"/>
        <w:spacing w:before="0"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第五部分 附表</w:t>
      </w:r>
    </w:p>
    <w:p w14:paraId="3FD0FB69">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一、收入支出决算总表</w:t>
      </w:r>
    </w:p>
    <w:p w14:paraId="5CFCDF6F">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二、收入决算表</w:t>
      </w:r>
    </w:p>
    <w:p w14:paraId="404DE514">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三、支出决算表</w:t>
      </w:r>
    </w:p>
    <w:p w14:paraId="4B5C2F0A">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四、财政拨款收入支出决算总表</w:t>
      </w:r>
    </w:p>
    <w:p w14:paraId="4AFE9F76">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五、财政拨款支出决算明细表</w:t>
      </w:r>
    </w:p>
    <w:p w14:paraId="767A4E5E">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六、一般公共预算财政拨款支出决算表</w:t>
      </w:r>
    </w:p>
    <w:p w14:paraId="65ED4C73">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七、一般公共预算财政拨款支出决算明细表</w:t>
      </w:r>
    </w:p>
    <w:p w14:paraId="592AE7E9">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八、一般公共预算财政拨款基本支出决算明细表</w:t>
      </w:r>
    </w:p>
    <w:p w14:paraId="7E28E811">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九、一般公共预算财政拨款项目支出决算表</w:t>
      </w:r>
    </w:p>
    <w:p w14:paraId="3EC64E2F">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十、政府性基金预算财政拨款收入支出决算表</w:t>
      </w:r>
    </w:p>
    <w:p w14:paraId="60B7BDAA">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十一、国有资本经营预算财政拨款收入支出决算表</w:t>
      </w:r>
    </w:p>
    <w:p w14:paraId="0F76E317">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十二、国有资本经营预算财政拨款支出决算表</w:t>
      </w:r>
    </w:p>
    <w:p w14:paraId="4A8B7994">
      <w:pPr>
        <w:pStyle w:val="14"/>
        <w:pageBreakBefore w:val="0"/>
        <w:kinsoku/>
        <w:wordWrap/>
        <w:overflowPunct/>
        <w:topLinePunct w:val="0"/>
        <w:bidi w:val="0"/>
        <w:adjustRightInd w:val="0"/>
        <w:snapToGrid w:val="0"/>
        <w:spacing w:line="440" w:lineRule="exact"/>
        <w:jc w:val="left"/>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十三、财政拨款“三公”经费支出决算表</w:t>
      </w:r>
    </w:p>
    <w:p w14:paraId="51878283">
      <w:pPr>
        <w:pageBreakBefore w:val="0"/>
        <w:widowControl/>
        <w:kinsoku/>
        <w:wordWrap/>
        <w:overflowPunct/>
        <w:topLinePunct w:val="0"/>
        <w:bidi w:val="0"/>
        <w:spacing w:line="440" w:lineRule="exact"/>
        <w:jc w:val="left"/>
        <w:rPr>
          <w:rFonts w:ascii="仿宋" w:hAnsi="仿宋" w:eastAsia="仿宋"/>
          <w:bCs/>
          <w:kern w:val="44"/>
          <w:sz w:val="24"/>
        </w:rPr>
      </w:pPr>
      <w:bookmarkStart w:id="12" w:name="_Toc15377196"/>
      <w:bookmarkStart w:id="13" w:name="_Toc15396599"/>
      <w:r>
        <w:rPr>
          <w:rFonts w:ascii="仿宋" w:hAnsi="仿宋" w:eastAsia="仿宋"/>
          <w:b/>
          <w:sz w:val="24"/>
        </w:rPr>
        <w:br w:type="page"/>
      </w:r>
    </w:p>
    <w:p w14:paraId="4C93D700">
      <w:pPr>
        <w:pStyle w:val="3"/>
        <w:pageBreakBefore w:val="0"/>
        <w:kinsoku/>
        <w:wordWrap/>
        <w:overflowPunct/>
        <w:topLinePunct w:val="0"/>
        <w:bidi w:val="0"/>
        <w:spacing w:line="440" w:lineRule="exact"/>
        <w:jc w:val="center"/>
        <w:rPr>
          <w:rStyle w:val="31"/>
          <w:rFonts w:ascii="黑体" w:hAnsi="黑体" w:eastAsia="黑体"/>
          <w:b/>
          <w:bCs w:val="0"/>
        </w:rPr>
      </w:pPr>
      <w:r>
        <w:rPr>
          <w:rFonts w:hint="eastAsia" w:ascii="黑体" w:hAnsi="黑体" w:eastAsia="黑体"/>
          <w:b w:val="0"/>
        </w:rPr>
        <w:t xml:space="preserve">第一部分 </w:t>
      </w:r>
      <w:r>
        <w:rPr>
          <w:rStyle w:val="31"/>
          <w:rFonts w:hint="eastAsia" w:ascii="黑体" w:hAnsi="黑体" w:eastAsia="黑体"/>
          <w:b w:val="0"/>
          <w:bCs w:val="0"/>
        </w:rPr>
        <w:t>部门概况</w:t>
      </w:r>
      <w:bookmarkEnd w:id="12"/>
      <w:bookmarkEnd w:id="13"/>
    </w:p>
    <w:p w14:paraId="78686929">
      <w:pPr>
        <w:pageBreakBefore w:val="0"/>
        <w:widowControl/>
        <w:kinsoku/>
        <w:wordWrap/>
        <w:overflowPunct/>
        <w:topLinePunct w:val="0"/>
        <w:bidi w:val="0"/>
        <w:spacing w:line="440" w:lineRule="exact"/>
        <w:jc w:val="left"/>
        <w:rPr>
          <w:rFonts w:ascii="黑体" w:eastAsia="黑体"/>
          <w:sz w:val="32"/>
          <w:szCs w:val="32"/>
        </w:rPr>
      </w:pPr>
    </w:p>
    <w:p w14:paraId="3F8B6C36">
      <w:pPr>
        <w:pStyle w:val="4"/>
        <w:pageBreakBefore w:val="0"/>
        <w:numPr>
          <w:ilvl w:val="0"/>
          <w:numId w:val="1"/>
        </w:numPr>
        <w:kinsoku/>
        <w:wordWrap/>
        <w:overflowPunct/>
        <w:topLinePunct w:val="0"/>
        <w:bidi w:val="0"/>
        <w:spacing w:line="440" w:lineRule="exact"/>
        <w:rPr>
          <w:rFonts w:hint="eastAsia" w:ascii="黑体" w:hAnsi="黑体" w:eastAsia="黑体"/>
          <w:b w:val="0"/>
        </w:rPr>
      </w:pPr>
      <w:r>
        <w:rPr>
          <w:rFonts w:hint="eastAsia" w:ascii="黑体" w:hAnsi="黑体" w:eastAsia="黑体"/>
          <w:b w:val="0"/>
        </w:rPr>
        <w:t>部门职责</w:t>
      </w:r>
    </w:p>
    <w:p w14:paraId="2456797E">
      <w:pPr>
        <w:keepNext w:val="0"/>
        <w:keepLines w:val="0"/>
        <w:pageBreakBefore w:val="0"/>
        <w:widowControl/>
        <w:suppressLineNumbers w:val="0"/>
        <w:kinsoku/>
        <w:wordWrap/>
        <w:overflowPunct/>
        <w:topLinePunct w:val="0"/>
        <w:autoSpaceDE/>
        <w:autoSpaceDN/>
        <w:bidi w:val="0"/>
        <w:adjustRightInd/>
        <w:snapToGrid/>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达古冰川管理局于2003年12月正式成立组建，为州人民政府直属公益一类事业单位，与四川三打古自然保护区管理局，实行“一套人马，两块牌子”“州县共管、以州为主”的管理体制。景区保护面积623平方公里，旅游区规划面积210平方公里。主要职责为：</w:t>
      </w:r>
    </w:p>
    <w:p w14:paraId="6F99CF39">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1、宣传贯彻国家有关自然保护区、风景名胜区管理和国家地质公园的法律、法规和方针政策。</w:t>
      </w:r>
    </w:p>
    <w:p w14:paraId="485988BD">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2、制定自然保护区的各项规章制度，组织实施自然保护区建设保护规则，统一管理自然保护区。</w:t>
      </w:r>
    </w:p>
    <w:p w14:paraId="793BF42A">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3、调查自然资源并建立档案，组织环境监测，定期报告保护区环境质量状况。</w:t>
      </w:r>
    </w:p>
    <w:p w14:paraId="4E1EEBFC">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4、负责自然保护区界标的设置和管理。</w:t>
      </w:r>
    </w:p>
    <w:p w14:paraId="3B6D3505">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5、保护风景名胜区资源和生态环境，维护风景名胜区的自然风貌和人文景观，开发利用风景名胜区旅游资源。</w:t>
      </w:r>
    </w:p>
    <w:p w14:paraId="6C8FCEDF">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6、协助编制总体规划和详细规划并组织实施，按照总体规划对风景名胜区的建设项目进行审核和监督检查。</w:t>
      </w:r>
    </w:p>
    <w:p w14:paraId="65810FBA">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7、负责风景名胜区基础设施和公共设施的建设和管理。</w:t>
      </w:r>
    </w:p>
    <w:p w14:paraId="79A4253B">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8、制定风景名胜区管理制度，负责风景名胜区的游人安全、环境卫生和服务业管理工作。</w:t>
      </w:r>
    </w:p>
    <w:p w14:paraId="0171DC81">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9、根据《自然保护区管理条例》和《风景名胜区管理条例》的规定，协助行政执法部门对保护区和景区内的森林资源、林地、国土资源、水资源依法管理。</w:t>
      </w:r>
    </w:p>
    <w:p w14:paraId="207B116D">
      <w:pPr>
        <w:keepNext w:val="0"/>
        <w:keepLines w:val="0"/>
        <w:pageBreakBefore w:val="0"/>
        <w:widowControl/>
        <w:suppressLineNumbers w:val="0"/>
        <w:kinsoku/>
        <w:wordWrap/>
        <w:overflowPunct/>
        <w:topLinePunct w:val="0"/>
        <w:bidi w:val="0"/>
        <w:spacing w:line="440" w:lineRule="exact"/>
        <w:ind w:firstLine="640" w:firstLineChars="200"/>
        <w:jc w:val="left"/>
        <w:textAlignment w:val="auto"/>
      </w:pPr>
      <w:r>
        <w:rPr>
          <w:rFonts w:hint="eastAsia" w:ascii="仿宋_GB2312" w:hAnsi="仿宋_GB2312" w:eastAsia="仿宋_GB2312" w:cs="仿宋_GB2312"/>
          <w:color w:val="auto"/>
          <w:sz w:val="32"/>
          <w:szCs w:val="32"/>
          <w:lang w:val="zh-CN" w:eastAsia="zh-CN"/>
        </w:rPr>
        <w:t>10、制定地质公园管理制度，负责地质公园的规划、建设、游览安全、环境保护和管理工作。</w:t>
      </w:r>
    </w:p>
    <w:p w14:paraId="7413164E">
      <w:pPr>
        <w:pStyle w:val="4"/>
        <w:pageBreakBefore w:val="0"/>
        <w:kinsoku/>
        <w:wordWrap/>
        <w:overflowPunct/>
        <w:topLinePunct w:val="0"/>
        <w:bidi w:val="0"/>
        <w:spacing w:line="440" w:lineRule="exact"/>
        <w:rPr>
          <w:rStyle w:val="32"/>
          <w:b w:val="0"/>
          <w:bCs w:val="0"/>
        </w:rPr>
      </w:pPr>
      <w:bookmarkStart w:id="14" w:name="_Toc15377200"/>
      <w:bookmarkStart w:id="15" w:name="_Toc15396601"/>
      <w:r>
        <w:rPr>
          <w:rFonts w:hint="eastAsia" w:ascii="黑体" w:eastAsia="黑体"/>
          <w:b w:val="0"/>
        </w:rPr>
        <w:t>二、</w:t>
      </w:r>
      <w:r>
        <w:rPr>
          <w:rFonts w:hint="eastAsia" w:ascii="黑体" w:hAnsi="黑体" w:eastAsia="黑体"/>
          <w:b w:val="0"/>
        </w:rPr>
        <w:t>机</w:t>
      </w:r>
      <w:r>
        <w:rPr>
          <w:rStyle w:val="32"/>
          <w:rFonts w:hint="eastAsia" w:ascii="黑体" w:hAnsi="黑体" w:eastAsia="黑体"/>
          <w:b w:val="0"/>
          <w:bCs w:val="0"/>
        </w:rPr>
        <w:t>构设置</w:t>
      </w:r>
      <w:bookmarkEnd w:id="14"/>
      <w:bookmarkEnd w:id="15"/>
    </w:p>
    <w:p w14:paraId="2B8EB7E0">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达古冰川</w:t>
      </w:r>
      <w:r>
        <w:rPr>
          <w:rFonts w:hint="eastAsia" w:ascii="仿宋_GB2312" w:hAnsi="仿宋_GB2312" w:eastAsia="仿宋_GB2312" w:cs="仿宋_GB2312"/>
          <w:color w:val="auto"/>
          <w:sz w:val="32"/>
          <w:szCs w:val="32"/>
        </w:rPr>
        <w:t>管理局属一级预算单位，无下属二级预算单位，其中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无行政单位；无参照公务员法管理的事业单位；无其他事业单位。</w:t>
      </w:r>
    </w:p>
    <w:p w14:paraId="0905809E">
      <w:pPr>
        <w:keepNext w:val="0"/>
        <w:keepLines w:val="0"/>
        <w:pageBreakBefore w:val="0"/>
        <w:widowControl/>
        <w:suppressLineNumbers w:val="0"/>
        <w:kinsoku/>
        <w:wordWrap/>
        <w:overflowPunct/>
        <w:topLinePunct w:val="0"/>
        <w:bidi w:val="0"/>
        <w:spacing w:line="440" w:lineRule="exact"/>
        <w:ind w:firstLine="640" w:firstLineChars="200"/>
        <w:jc w:val="left"/>
        <w:textAlignment w:val="auto"/>
        <w:rPr>
          <w:rFonts w:hint="eastAsia" w:ascii="仿宋_GB2312" w:hAnsi="仿宋_GB2312" w:eastAsia="仿宋_GB2312" w:cs="仿宋_GB2312"/>
          <w:color w:val="auto"/>
          <w:sz w:val="32"/>
          <w:szCs w:val="32"/>
          <w:lang w:val="zh-CN" w:eastAsia="zh-CN"/>
        </w:rPr>
      </w:pPr>
      <w:r>
        <w:rPr>
          <w:rFonts w:hint="eastAsia" w:ascii="仿宋_GB2312" w:hAnsi="仿宋_GB2312" w:eastAsia="仿宋_GB2312" w:cs="仿宋_GB2312"/>
          <w:color w:val="auto"/>
          <w:sz w:val="32"/>
          <w:szCs w:val="32"/>
          <w:lang w:val="zh-CN" w:eastAsia="zh-CN"/>
        </w:rPr>
        <w:t>管理局内设16个处室，核定事业编制86名，202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val="zh-CN" w:eastAsia="zh-CN"/>
        </w:rPr>
        <w:t>年12月有正式职工</w:t>
      </w:r>
      <w:r>
        <w:rPr>
          <w:rFonts w:hint="eastAsia" w:ascii="仿宋_GB2312" w:hAnsi="仿宋_GB2312" w:eastAsia="仿宋_GB2312" w:cs="仿宋_GB2312"/>
          <w:color w:val="auto"/>
          <w:sz w:val="32"/>
          <w:szCs w:val="32"/>
          <w:lang w:val="en-US" w:eastAsia="zh-CN"/>
        </w:rPr>
        <w:t>80</w:t>
      </w:r>
      <w:r>
        <w:rPr>
          <w:rFonts w:hint="eastAsia" w:ascii="仿宋_GB2312" w:hAnsi="仿宋_GB2312" w:eastAsia="仿宋_GB2312" w:cs="仿宋_GB2312"/>
          <w:color w:val="auto"/>
          <w:sz w:val="32"/>
          <w:szCs w:val="32"/>
          <w:lang w:val="zh-CN" w:eastAsia="zh-CN"/>
        </w:rPr>
        <w:t>人；核定临时用工编制80名（其中：长期性临时用工20人，季节性临时用工60人），</w:t>
      </w:r>
      <w:r>
        <w:rPr>
          <w:rFonts w:hint="eastAsia" w:ascii="仿宋_GB2312" w:hAnsi="仿宋_GB2312" w:eastAsia="仿宋_GB2312" w:cs="仿宋_GB2312"/>
          <w:color w:val="auto"/>
          <w:sz w:val="32"/>
          <w:szCs w:val="32"/>
          <w:lang w:val="en-US" w:eastAsia="zh-CN"/>
        </w:rPr>
        <w:t>2023年12月</w:t>
      </w:r>
      <w:r>
        <w:rPr>
          <w:rFonts w:hint="default" w:ascii="仿宋_GB2312" w:hAnsi="Times New Roman" w:eastAsia="仿宋_GB2312" w:cs="Times New Roman"/>
          <w:kern w:val="2"/>
          <w:sz w:val="32"/>
          <w:szCs w:val="32"/>
          <w:lang w:val="en-US" w:eastAsia="zh-CN" w:bidi="ar-SA"/>
        </w:rPr>
        <w:t>实有其他人数为</w:t>
      </w:r>
      <w:r>
        <w:rPr>
          <w:rFonts w:hint="eastAsia" w:ascii="仿宋_GB2312" w:hAnsi="Times New Roman" w:eastAsia="仿宋_GB2312" w:cs="Times New Roman"/>
          <w:kern w:val="2"/>
          <w:sz w:val="32"/>
          <w:szCs w:val="32"/>
          <w:lang w:val="en-US" w:eastAsia="zh-CN" w:bidi="ar-SA"/>
        </w:rPr>
        <w:t>78</w:t>
      </w:r>
      <w:r>
        <w:rPr>
          <w:rFonts w:hint="default" w:ascii="仿宋_GB2312" w:hAnsi="Times New Roman" w:eastAsia="仿宋_GB2312" w:cs="Times New Roman"/>
          <w:kern w:val="2"/>
          <w:sz w:val="32"/>
          <w:szCs w:val="32"/>
          <w:lang w:val="en-US" w:eastAsia="zh-CN" w:bidi="ar-SA"/>
        </w:rPr>
        <w:t>人，</w:t>
      </w:r>
      <w:r>
        <w:rPr>
          <w:rFonts w:hint="default" w:ascii="仿宋_GB2312" w:hAnsi="Times New Roman" w:eastAsia="仿宋_GB2312" w:cs="Times New Roman"/>
          <w:color w:val="000000"/>
          <w:kern w:val="2"/>
          <w:sz w:val="32"/>
          <w:szCs w:val="32"/>
          <w:lang w:val="en-US" w:eastAsia="zh-CN" w:bidi="ar-SA"/>
        </w:rPr>
        <w:t>比上年</w:t>
      </w:r>
      <w:r>
        <w:rPr>
          <w:rFonts w:hint="eastAsia" w:ascii="仿宋_GB2312" w:hAnsi="Times New Roman" w:eastAsia="仿宋_GB2312" w:cs="Times New Roman"/>
          <w:color w:val="000000"/>
          <w:kern w:val="2"/>
          <w:sz w:val="32"/>
          <w:szCs w:val="32"/>
          <w:lang w:val="en-US" w:eastAsia="zh-CN" w:bidi="ar-SA"/>
        </w:rPr>
        <w:t>增加</w:t>
      </w:r>
      <w:r>
        <w:rPr>
          <w:rFonts w:hint="eastAsia" w:ascii="仿宋_GB2312" w:eastAsia="仿宋_GB2312" w:cs="Times New Roman"/>
          <w:color w:val="000000"/>
          <w:kern w:val="2"/>
          <w:sz w:val="32"/>
          <w:szCs w:val="32"/>
          <w:lang w:val="en-US" w:eastAsia="zh-CN" w:bidi="ar-SA"/>
        </w:rPr>
        <w:t>3</w:t>
      </w:r>
      <w:r>
        <w:rPr>
          <w:rFonts w:hint="default" w:ascii="仿宋_GB2312" w:hAnsi="Times New Roman" w:eastAsia="仿宋_GB2312" w:cs="Times New Roman"/>
          <w:color w:val="000000"/>
          <w:kern w:val="2"/>
          <w:sz w:val="32"/>
          <w:szCs w:val="32"/>
          <w:lang w:val="en-US" w:eastAsia="zh-CN" w:bidi="ar-SA"/>
        </w:rPr>
        <w:t>人</w:t>
      </w:r>
      <w:r>
        <w:rPr>
          <w:rFonts w:hint="default" w:ascii="仿宋_GB2312" w:hAnsi="Times New Roman" w:eastAsia="仿宋_GB2312" w:cs="Times New Roman"/>
          <w:kern w:val="2"/>
          <w:sz w:val="32"/>
          <w:szCs w:val="32"/>
          <w:lang w:val="en-US" w:eastAsia="zh-CN" w:bidi="ar-SA"/>
        </w:rPr>
        <w:t>；变动情况及原因为</w:t>
      </w:r>
      <w:r>
        <w:rPr>
          <w:rFonts w:hint="eastAsia" w:ascii="仿宋_GB2312" w:hAnsi="Times New Roman" w:eastAsia="仿宋_GB2312" w:cs="Times New Roman"/>
          <w:kern w:val="2"/>
          <w:sz w:val="32"/>
          <w:szCs w:val="32"/>
          <w:lang w:val="en-US" w:eastAsia="zh-CN" w:bidi="ar-SA"/>
        </w:rPr>
        <w:t>新进临聘人员</w:t>
      </w:r>
      <w:r>
        <w:rPr>
          <w:rFonts w:hint="eastAsia" w:ascii="仿宋_GB2312" w:hAnsi="仿宋_GB2312" w:eastAsia="仿宋_GB2312" w:cs="仿宋_GB2312"/>
          <w:color w:val="auto"/>
          <w:sz w:val="32"/>
          <w:szCs w:val="32"/>
          <w:lang w:val="zh-CN" w:eastAsia="zh-CN"/>
        </w:rPr>
        <w:t>。</w:t>
      </w:r>
      <w:bookmarkStart w:id="16" w:name="_Toc15396602"/>
      <w:bookmarkStart w:id="17" w:name="_Toc15377204"/>
    </w:p>
    <w:p w14:paraId="0CE11A20">
      <w:pPr>
        <w:keepNext w:val="0"/>
        <w:keepLines w:val="0"/>
        <w:pageBreakBefore w:val="0"/>
        <w:widowControl/>
        <w:suppressLineNumbers w:val="0"/>
        <w:kinsoku/>
        <w:wordWrap/>
        <w:overflowPunct/>
        <w:topLinePunct w:val="0"/>
        <w:bidi w:val="0"/>
        <w:spacing w:line="440" w:lineRule="exact"/>
        <w:ind w:firstLine="640" w:firstLineChars="200"/>
        <w:jc w:val="both"/>
        <w:textAlignment w:val="auto"/>
        <w:rPr>
          <w:rFonts w:hint="eastAsia" w:ascii="仿宋_GB2312" w:hAnsi="仿宋_GB2312" w:eastAsia="仿宋_GB2312" w:cs="仿宋_GB2312"/>
          <w:color w:val="auto"/>
          <w:sz w:val="32"/>
          <w:szCs w:val="32"/>
          <w:lang w:val="zh-CN" w:eastAsia="zh-CN"/>
        </w:rPr>
      </w:pPr>
    </w:p>
    <w:p w14:paraId="406A120F">
      <w:pPr>
        <w:keepNext w:val="0"/>
        <w:keepLines w:val="0"/>
        <w:pageBreakBefore w:val="0"/>
        <w:widowControl/>
        <w:suppressLineNumbers w:val="0"/>
        <w:kinsoku/>
        <w:wordWrap/>
        <w:overflowPunct/>
        <w:topLinePunct w:val="0"/>
        <w:bidi w:val="0"/>
        <w:spacing w:line="440" w:lineRule="exact"/>
        <w:ind w:firstLine="440" w:firstLineChars="100"/>
        <w:jc w:val="both"/>
        <w:textAlignment w:val="auto"/>
        <w:rPr>
          <w:rStyle w:val="31"/>
          <w:rFonts w:ascii="黑体" w:hAnsi="黑体" w:eastAsia="黑体"/>
          <w:b w:val="0"/>
          <w:bCs/>
        </w:rPr>
      </w:pPr>
      <w:r>
        <w:rPr>
          <w:rStyle w:val="31"/>
          <w:rFonts w:hint="eastAsia" w:ascii="黑体" w:hAnsi="黑体" w:eastAsia="黑体" w:cstheme="minorBidi"/>
          <w:b w:val="0"/>
          <w:bCs/>
        </w:rPr>
        <w:t>第二部分 2023年度</w:t>
      </w:r>
      <w:r>
        <w:rPr>
          <w:rStyle w:val="31"/>
          <w:rFonts w:hint="eastAsia" w:ascii="黑体" w:hAnsi="黑体" w:eastAsia="黑体"/>
          <w:b w:val="0"/>
          <w:bCs/>
        </w:rPr>
        <w:t>部门决算情况说明</w:t>
      </w:r>
      <w:bookmarkEnd w:id="16"/>
      <w:bookmarkEnd w:id="17"/>
    </w:p>
    <w:p w14:paraId="72CD9B3A">
      <w:pPr>
        <w:pageBreakBefore w:val="0"/>
        <w:kinsoku/>
        <w:wordWrap/>
        <w:overflowPunct/>
        <w:topLinePunct w:val="0"/>
        <w:bidi w:val="0"/>
        <w:spacing w:line="440" w:lineRule="exact"/>
      </w:pPr>
    </w:p>
    <w:p w14:paraId="76410E3B">
      <w:pPr>
        <w:pStyle w:val="30"/>
        <w:pageBreakBefore w:val="0"/>
        <w:numPr>
          <w:ilvl w:val="0"/>
          <w:numId w:val="2"/>
        </w:numPr>
        <w:kinsoku/>
        <w:wordWrap/>
        <w:overflowPunct/>
        <w:topLinePunct w:val="0"/>
        <w:bidi w:val="0"/>
        <w:spacing w:line="440" w:lineRule="exact"/>
        <w:ind w:firstLineChars="0"/>
        <w:outlineLvl w:val="1"/>
        <w:rPr>
          <w:rStyle w:val="32"/>
          <w:rFonts w:ascii="黑体" w:hAnsi="黑体" w:eastAsia="黑体"/>
          <w:b w:val="0"/>
        </w:rPr>
      </w:pPr>
      <w:bookmarkStart w:id="18" w:name="_Toc15396603"/>
      <w:bookmarkStart w:id="19" w:name="_Toc15377205"/>
      <w:r>
        <w:rPr>
          <w:rFonts w:hint="eastAsia" w:ascii="黑体" w:hAnsi="黑体" w:eastAsia="黑体"/>
          <w:sz w:val="32"/>
          <w:szCs w:val="32"/>
        </w:rPr>
        <w:t>收</w:t>
      </w:r>
      <w:r>
        <w:rPr>
          <w:rStyle w:val="32"/>
          <w:rFonts w:hint="eastAsia" w:ascii="黑体" w:hAnsi="黑体" w:eastAsia="黑体"/>
          <w:b w:val="0"/>
        </w:rPr>
        <w:t>入支出决算总体情况说明</w:t>
      </w:r>
      <w:bookmarkEnd w:id="18"/>
      <w:bookmarkEnd w:id="19"/>
    </w:p>
    <w:p w14:paraId="4DC41FD3">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r>
        <w:rPr>
          <w:rFonts w:hint="eastAsia" w:ascii="仿宋" w:hAnsi="仿宋" w:eastAsia="仿宋"/>
          <w:sz w:val="32"/>
          <w:szCs w:val="32"/>
        </w:rPr>
        <w:t>2023年度收、支总计均为</w:t>
      </w:r>
      <w:r>
        <w:rPr>
          <w:rFonts w:hint="eastAsia"/>
          <w:sz w:val="32"/>
          <w:szCs w:val="32"/>
        </w:rPr>
        <w:t>3735.21</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与2022年度相比，收、支总计各减少</w:t>
      </w:r>
      <w:r>
        <w:rPr>
          <w:rFonts w:hint="eastAsia" w:ascii="仿宋" w:hAnsi="仿宋" w:eastAsia="仿宋"/>
          <w:sz w:val="32"/>
          <w:szCs w:val="32"/>
          <w:lang w:val="en-US" w:eastAsia="zh-CN"/>
        </w:rPr>
        <w:t>407.64</w:t>
      </w:r>
      <w:r>
        <w:rPr>
          <w:rFonts w:hint="eastAsia" w:ascii="仿宋" w:hAnsi="仿宋" w:eastAsia="仿宋"/>
          <w:sz w:val="32"/>
          <w:szCs w:val="32"/>
        </w:rPr>
        <w:t>万元，下降</w:t>
      </w:r>
      <w:r>
        <w:rPr>
          <w:rFonts w:hint="eastAsia" w:ascii="仿宋" w:hAnsi="仿宋" w:eastAsia="仿宋"/>
          <w:sz w:val="32"/>
          <w:szCs w:val="32"/>
          <w:lang w:val="en-US" w:eastAsia="zh-CN"/>
        </w:rPr>
        <w:t>9.84</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eastAsia="仿宋_GB2312" w:cs="仿宋_GB2312"/>
          <w:color w:val="000000"/>
          <w:kern w:val="0"/>
          <w:sz w:val="32"/>
          <w:szCs w:val="32"/>
          <w:lang w:val="en-US" w:eastAsia="zh-CN"/>
        </w:rPr>
        <w:t>减少大型项目的开支</w:t>
      </w:r>
      <w:r>
        <w:rPr>
          <w:rFonts w:hint="eastAsia" w:ascii="仿宋" w:hAnsi="仿宋" w:eastAsia="仿宋"/>
          <w:sz w:val="32"/>
          <w:szCs w:val="32"/>
        </w:rPr>
        <w:t>。</w:t>
      </w:r>
    </w:p>
    <w:p w14:paraId="116A178B">
      <w:pPr>
        <w:pageBreakBefore w:val="0"/>
        <w:kinsoku/>
        <w:wordWrap/>
        <w:overflowPunct/>
        <w:topLinePunct w:val="0"/>
        <w:bidi w:val="0"/>
        <w:spacing w:line="440" w:lineRule="exact"/>
        <w:ind w:firstLine="420" w:firstLineChars="200"/>
        <w:jc w:val="left"/>
        <w:rPr>
          <w:rFonts w:hint="eastAsia" w:ascii="仿宋" w:hAnsi="仿宋" w:eastAsia="仿宋"/>
          <w:sz w:val="32"/>
          <w:szCs w:val="32"/>
        </w:rPr>
      </w:pPr>
      <w:r>
        <w:drawing>
          <wp:anchor distT="0" distB="0" distL="114300" distR="114300" simplePos="0" relativeHeight="251660288" behindDoc="0" locked="0" layoutInCell="1" allowOverlap="1">
            <wp:simplePos x="0" y="0"/>
            <wp:positionH relativeFrom="column">
              <wp:posOffset>499745</wp:posOffset>
            </wp:positionH>
            <wp:positionV relativeFrom="paragraph">
              <wp:posOffset>189230</wp:posOffset>
            </wp:positionV>
            <wp:extent cx="4435475" cy="1991360"/>
            <wp:effectExtent l="4445" t="5080" r="17780" b="22860"/>
            <wp:wrapSquare wrapText="bothSides"/>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1CDBF635">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p>
    <w:p w14:paraId="3888DC07">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p>
    <w:p w14:paraId="2141B66F">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p>
    <w:p w14:paraId="4555D5E0">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p>
    <w:p w14:paraId="463CF07E">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p>
    <w:p w14:paraId="1466067B">
      <w:pPr>
        <w:pageBreakBefore w:val="0"/>
        <w:kinsoku/>
        <w:wordWrap/>
        <w:overflowPunct/>
        <w:topLinePunct w:val="0"/>
        <w:bidi w:val="0"/>
        <w:spacing w:line="440" w:lineRule="exact"/>
        <w:ind w:firstLine="1600" w:firstLineChars="5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14:paraId="32830957">
      <w:pPr>
        <w:pStyle w:val="30"/>
        <w:pageBreakBefore w:val="0"/>
        <w:numPr>
          <w:ilvl w:val="0"/>
          <w:numId w:val="2"/>
        </w:numPr>
        <w:kinsoku/>
        <w:wordWrap/>
        <w:overflowPunct/>
        <w:topLinePunct w:val="0"/>
        <w:bidi w:val="0"/>
        <w:spacing w:line="440" w:lineRule="exact"/>
        <w:ind w:firstLineChars="0"/>
        <w:outlineLvl w:val="1"/>
        <w:rPr>
          <w:rStyle w:val="32"/>
          <w:rFonts w:ascii="黑体" w:hAnsi="黑体" w:eastAsia="黑体"/>
          <w:b w:val="0"/>
        </w:rPr>
      </w:pPr>
      <w:bookmarkStart w:id="20" w:name="_Toc15377206"/>
      <w:bookmarkStart w:id="21" w:name="_Toc15396604"/>
      <w:r>
        <w:rPr>
          <w:rFonts w:hint="eastAsia" w:ascii="黑体" w:hAnsi="黑体" w:eastAsia="黑体"/>
          <w:sz w:val="32"/>
          <w:szCs w:val="32"/>
        </w:rPr>
        <w:t>收</w:t>
      </w:r>
      <w:r>
        <w:rPr>
          <w:rStyle w:val="32"/>
          <w:rFonts w:hint="eastAsia" w:ascii="黑体" w:hAnsi="黑体" w:eastAsia="黑体"/>
          <w:b w:val="0"/>
        </w:rPr>
        <w:t>入决算情况说明</w:t>
      </w:r>
      <w:bookmarkEnd w:id="20"/>
      <w:bookmarkEnd w:id="21"/>
    </w:p>
    <w:p w14:paraId="4652E5EA">
      <w:pPr>
        <w:pageBreakBefore w:val="0"/>
        <w:kinsoku/>
        <w:wordWrap/>
        <w:overflowPunct/>
        <w:topLinePunct w:val="0"/>
        <w:bidi w:val="0"/>
        <w:spacing w:line="440" w:lineRule="exact"/>
        <w:ind w:firstLine="640" w:firstLineChars="200"/>
        <w:jc w:val="left"/>
        <w:outlineLvl w:val="1"/>
        <w:rPr>
          <w:rFonts w:hint="eastAsia" w:ascii="仿宋" w:hAnsi="仿宋" w:eastAsia="仿宋"/>
          <w:sz w:val="32"/>
          <w:szCs w:val="32"/>
          <w:lang w:eastAsia="zh-CN"/>
        </w:rPr>
      </w:pPr>
      <w:r>
        <w:rPr>
          <w:rFonts w:hint="eastAsia" w:ascii="仿宋" w:hAnsi="仿宋" w:eastAsia="仿宋"/>
          <w:sz w:val="32"/>
          <w:szCs w:val="32"/>
        </w:rPr>
        <w:t>2023年度本年收入合计</w:t>
      </w:r>
      <w:r>
        <w:rPr>
          <w:sz w:val="32"/>
          <w:szCs w:val="32"/>
        </w:rPr>
        <w:t>3735.21</w:t>
      </w:r>
      <w:r>
        <w:rPr>
          <w:rFonts w:hint="eastAsia" w:ascii="仿宋" w:hAnsi="仿宋" w:eastAsia="仿宋"/>
          <w:sz w:val="32"/>
          <w:szCs w:val="32"/>
        </w:rPr>
        <w:t>万元，其中：一般公共预算财政拨款收入</w:t>
      </w:r>
      <w:r>
        <w:rPr>
          <w:sz w:val="32"/>
          <w:szCs w:val="32"/>
        </w:rPr>
        <w:t>3735.21</w:t>
      </w:r>
      <w:r>
        <w:rPr>
          <w:rFonts w:hint="eastAsia" w:ascii="仿宋" w:hAnsi="仿宋" w:eastAsia="仿宋"/>
          <w:sz w:val="32"/>
          <w:szCs w:val="32"/>
        </w:rPr>
        <w:t>万元，占</w:t>
      </w:r>
      <w:r>
        <w:rPr>
          <w:sz w:val="32"/>
          <w:szCs w:val="32"/>
        </w:rPr>
        <w:t>100</w:t>
      </w:r>
      <w:r>
        <w:rPr>
          <w:rFonts w:ascii="仿宋" w:hAnsi="仿宋" w:eastAsia="仿宋"/>
          <w:sz w:val="32"/>
          <w:szCs w:val="32"/>
        </w:rPr>
        <w:t>%</w:t>
      </w:r>
      <w:r>
        <w:rPr>
          <w:rFonts w:hint="eastAsia" w:ascii="仿宋" w:hAnsi="仿宋" w:eastAsia="仿宋"/>
          <w:sz w:val="32"/>
          <w:szCs w:val="32"/>
          <w:lang w:eastAsia="zh-CN"/>
        </w:rPr>
        <w:t>。</w:t>
      </w:r>
    </w:p>
    <w:p w14:paraId="10293457">
      <w:pPr>
        <w:pageBreakBefore w:val="0"/>
        <w:kinsoku/>
        <w:wordWrap/>
        <w:overflowPunct/>
        <w:topLinePunct w:val="0"/>
        <w:bidi w:val="0"/>
        <w:spacing w:line="440" w:lineRule="exact"/>
        <w:ind w:firstLine="420" w:firstLineChars="200"/>
        <w:outlineLvl w:val="1"/>
        <w:rPr>
          <w:rFonts w:ascii="仿宋" w:hAnsi="仿宋" w:eastAsia="仿宋"/>
          <w:sz w:val="32"/>
          <w:szCs w:val="32"/>
        </w:rPr>
      </w:pPr>
      <w:r>
        <w:drawing>
          <wp:anchor distT="0" distB="0" distL="114300" distR="114300" simplePos="0" relativeHeight="251661312" behindDoc="0" locked="0" layoutInCell="1" allowOverlap="1">
            <wp:simplePos x="0" y="0"/>
            <wp:positionH relativeFrom="column">
              <wp:posOffset>500380</wp:posOffset>
            </wp:positionH>
            <wp:positionV relativeFrom="paragraph">
              <wp:posOffset>61595</wp:posOffset>
            </wp:positionV>
            <wp:extent cx="3426460" cy="2172335"/>
            <wp:effectExtent l="5080" t="4445" r="16510" b="13970"/>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3BE3AB9C">
      <w:pPr>
        <w:pageBreakBefore w:val="0"/>
        <w:kinsoku/>
        <w:wordWrap/>
        <w:overflowPunct/>
        <w:topLinePunct w:val="0"/>
        <w:bidi w:val="0"/>
        <w:spacing w:line="440" w:lineRule="exact"/>
        <w:ind w:firstLine="640" w:firstLineChars="200"/>
        <w:outlineLvl w:val="1"/>
        <w:rPr>
          <w:rFonts w:ascii="仿宋" w:hAnsi="仿宋" w:eastAsia="仿宋"/>
          <w:sz w:val="32"/>
          <w:szCs w:val="32"/>
        </w:rPr>
      </w:pPr>
    </w:p>
    <w:p w14:paraId="67AEBC3E">
      <w:pPr>
        <w:pageBreakBefore w:val="0"/>
        <w:kinsoku/>
        <w:wordWrap/>
        <w:overflowPunct/>
        <w:topLinePunct w:val="0"/>
        <w:bidi w:val="0"/>
        <w:spacing w:line="440" w:lineRule="exact"/>
        <w:ind w:firstLine="640" w:firstLineChars="200"/>
        <w:outlineLvl w:val="1"/>
        <w:rPr>
          <w:rFonts w:ascii="仿宋" w:hAnsi="仿宋" w:eastAsia="仿宋"/>
          <w:sz w:val="32"/>
          <w:szCs w:val="32"/>
        </w:rPr>
      </w:pPr>
    </w:p>
    <w:p w14:paraId="60DEF464">
      <w:pPr>
        <w:pageBreakBefore w:val="0"/>
        <w:kinsoku/>
        <w:wordWrap/>
        <w:overflowPunct/>
        <w:topLinePunct w:val="0"/>
        <w:bidi w:val="0"/>
        <w:spacing w:line="440" w:lineRule="exact"/>
        <w:ind w:firstLine="640" w:firstLineChars="200"/>
        <w:outlineLvl w:val="1"/>
        <w:rPr>
          <w:rFonts w:ascii="仿宋" w:hAnsi="仿宋" w:eastAsia="仿宋"/>
          <w:sz w:val="32"/>
          <w:szCs w:val="32"/>
        </w:rPr>
      </w:pPr>
    </w:p>
    <w:p w14:paraId="2A6B47A0">
      <w:pPr>
        <w:pageBreakBefore w:val="0"/>
        <w:kinsoku/>
        <w:wordWrap/>
        <w:overflowPunct/>
        <w:topLinePunct w:val="0"/>
        <w:bidi w:val="0"/>
        <w:spacing w:line="440" w:lineRule="exact"/>
        <w:ind w:firstLine="640" w:firstLineChars="200"/>
        <w:outlineLvl w:val="1"/>
        <w:rPr>
          <w:rFonts w:ascii="仿宋" w:hAnsi="仿宋" w:eastAsia="仿宋"/>
          <w:sz w:val="32"/>
          <w:szCs w:val="32"/>
        </w:rPr>
      </w:pPr>
    </w:p>
    <w:p w14:paraId="10F3FC3E">
      <w:pPr>
        <w:pageBreakBefore w:val="0"/>
        <w:kinsoku/>
        <w:wordWrap/>
        <w:overflowPunct/>
        <w:topLinePunct w:val="0"/>
        <w:bidi w:val="0"/>
        <w:spacing w:line="440" w:lineRule="exact"/>
        <w:outlineLvl w:val="1"/>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14:paraId="7A6A2B4D">
      <w:pPr>
        <w:pageBreakBefore w:val="0"/>
        <w:kinsoku/>
        <w:wordWrap/>
        <w:overflowPunct/>
        <w:topLinePunct w:val="0"/>
        <w:bidi w:val="0"/>
        <w:spacing w:line="440" w:lineRule="exact"/>
        <w:ind w:firstLine="1600" w:firstLineChars="500"/>
        <w:rPr>
          <w:rFonts w:hint="eastAsia" w:ascii="仿宋" w:hAnsi="仿宋" w:eastAsia="仿宋"/>
          <w:sz w:val="32"/>
          <w:szCs w:val="32"/>
        </w:rPr>
      </w:pPr>
    </w:p>
    <w:p w14:paraId="3450DE8B">
      <w:pPr>
        <w:pageBreakBefore w:val="0"/>
        <w:kinsoku/>
        <w:wordWrap/>
        <w:overflowPunct/>
        <w:topLinePunct w:val="0"/>
        <w:bidi w:val="0"/>
        <w:spacing w:line="440" w:lineRule="exact"/>
        <w:ind w:firstLine="1600" w:firstLineChars="500"/>
        <w:rPr>
          <w:rFonts w:hint="eastAsia" w:ascii="仿宋" w:hAnsi="仿宋" w:eastAsia="仿宋"/>
          <w:sz w:val="32"/>
          <w:szCs w:val="32"/>
        </w:rPr>
      </w:pPr>
    </w:p>
    <w:p w14:paraId="15CB8F1C">
      <w:pPr>
        <w:pageBreakBefore w:val="0"/>
        <w:kinsoku/>
        <w:wordWrap/>
        <w:overflowPunct/>
        <w:topLinePunct w:val="0"/>
        <w:bidi w:val="0"/>
        <w:spacing w:line="440" w:lineRule="exact"/>
        <w:ind w:firstLine="1600" w:firstLineChars="500"/>
        <w:rPr>
          <w:rFonts w:hint="eastAsia" w:ascii="仿宋" w:hAnsi="仿宋" w:eastAsia="仿宋"/>
          <w:sz w:val="32"/>
          <w:szCs w:val="32"/>
        </w:rPr>
      </w:pPr>
    </w:p>
    <w:p w14:paraId="40493C12">
      <w:pPr>
        <w:pageBreakBefore w:val="0"/>
        <w:kinsoku/>
        <w:wordWrap/>
        <w:overflowPunct/>
        <w:topLinePunct w:val="0"/>
        <w:bidi w:val="0"/>
        <w:spacing w:line="440" w:lineRule="exact"/>
        <w:ind w:firstLine="1600" w:firstLineChars="500"/>
        <w:rPr>
          <w:rFonts w:ascii="仿宋_GB2312" w:eastAsia="仿宋_GB2312"/>
          <w:sz w:val="32"/>
          <w:szCs w:val="32"/>
        </w:rPr>
      </w:pPr>
      <w:r>
        <w:rPr>
          <w:rFonts w:hint="eastAsia" w:ascii="仿宋" w:hAnsi="仿宋" w:eastAsia="仿宋"/>
          <w:sz w:val="32"/>
          <w:szCs w:val="32"/>
        </w:rPr>
        <w:t>（图2：收入决算结构图）</w:t>
      </w:r>
    </w:p>
    <w:p w14:paraId="3C70B45B">
      <w:pPr>
        <w:pStyle w:val="30"/>
        <w:pageBreakBefore w:val="0"/>
        <w:numPr>
          <w:ilvl w:val="0"/>
          <w:numId w:val="2"/>
        </w:numPr>
        <w:kinsoku/>
        <w:wordWrap/>
        <w:overflowPunct/>
        <w:topLinePunct w:val="0"/>
        <w:bidi w:val="0"/>
        <w:spacing w:line="440" w:lineRule="exact"/>
        <w:ind w:firstLineChars="0"/>
        <w:outlineLvl w:val="1"/>
        <w:rPr>
          <w:rStyle w:val="32"/>
          <w:rFonts w:ascii="黑体" w:hAnsi="黑体" w:eastAsia="黑体"/>
          <w:b w:val="0"/>
        </w:rPr>
      </w:pPr>
      <w:bookmarkStart w:id="22" w:name="_Toc15396605"/>
      <w:bookmarkStart w:id="23" w:name="_Toc15377207"/>
      <w:r>
        <w:rPr>
          <w:rFonts w:hint="eastAsia" w:ascii="黑体" w:hAnsi="黑体" w:eastAsia="黑体"/>
          <w:sz w:val="32"/>
          <w:szCs w:val="32"/>
        </w:rPr>
        <w:t>支</w:t>
      </w:r>
      <w:r>
        <w:rPr>
          <w:rStyle w:val="32"/>
          <w:rFonts w:hint="eastAsia" w:ascii="黑体" w:hAnsi="黑体" w:eastAsia="黑体"/>
          <w:b w:val="0"/>
        </w:rPr>
        <w:t>出决算情况说明</w:t>
      </w:r>
      <w:bookmarkEnd w:id="22"/>
      <w:bookmarkEnd w:id="23"/>
    </w:p>
    <w:p w14:paraId="210B576E">
      <w:pPr>
        <w:pageBreakBefore w:val="0"/>
        <w:kinsoku/>
        <w:wordWrap/>
        <w:overflowPunct/>
        <w:topLinePunct w:val="0"/>
        <w:bidi w:val="0"/>
        <w:spacing w:line="440" w:lineRule="exact"/>
        <w:ind w:firstLine="640" w:firstLineChars="200"/>
        <w:outlineLvl w:val="1"/>
        <w:rPr>
          <w:rFonts w:hint="eastAsia" w:ascii="仿宋" w:hAnsi="仿宋" w:eastAsia="仿宋"/>
          <w:sz w:val="32"/>
          <w:szCs w:val="32"/>
          <w:lang w:eastAsia="zh-CN"/>
        </w:rPr>
      </w:pPr>
      <w:r>
        <w:rPr>
          <w:rFonts w:hint="eastAsia" w:ascii="仿宋" w:hAnsi="仿宋" w:eastAsia="仿宋"/>
          <w:sz w:val="32"/>
          <w:szCs w:val="32"/>
        </w:rPr>
        <w:t>2023年度本年支出合计</w:t>
      </w:r>
      <w:r>
        <w:rPr>
          <w:sz w:val="32"/>
          <w:szCs w:val="32"/>
        </w:rPr>
        <w:t>3735.21</w:t>
      </w:r>
      <w:r>
        <w:rPr>
          <w:rFonts w:hint="eastAsia" w:ascii="仿宋" w:hAnsi="仿宋" w:eastAsia="仿宋"/>
          <w:sz w:val="32"/>
          <w:szCs w:val="32"/>
        </w:rPr>
        <w:t>万元，其中：基本支出</w:t>
      </w:r>
      <w:r>
        <w:rPr>
          <w:sz w:val="32"/>
          <w:szCs w:val="32"/>
        </w:rPr>
        <w:t>2788.53</w:t>
      </w:r>
      <w:r>
        <w:rPr>
          <w:rFonts w:hint="eastAsia" w:ascii="仿宋" w:hAnsi="仿宋" w:eastAsia="仿宋"/>
          <w:sz w:val="32"/>
          <w:szCs w:val="32"/>
        </w:rPr>
        <w:t>万元，占</w:t>
      </w:r>
      <w:r>
        <w:rPr>
          <w:sz w:val="32"/>
          <w:szCs w:val="32"/>
        </w:rPr>
        <w:t>74.65</w:t>
      </w:r>
      <w:r>
        <w:rPr>
          <w:rFonts w:ascii="仿宋" w:hAnsi="仿宋" w:eastAsia="仿宋"/>
          <w:sz w:val="32"/>
          <w:szCs w:val="32"/>
        </w:rPr>
        <w:t>%</w:t>
      </w:r>
      <w:r>
        <w:rPr>
          <w:rFonts w:hint="eastAsia" w:ascii="仿宋" w:hAnsi="仿宋" w:eastAsia="仿宋"/>
          <w:sz w:val="32"/>
          <w:szCs w:val="32"/>
        </w:rPr>
        <w:t>；项目支出</w:t>
      </w:r>
      <w:r>
        <w:rPr>
          <w:sz w:val="32"/>
          <w:szCs w:val="32"/>
        </w:rPr>
        <w:t>946.68</w:t>
      </w:r>
      <w:r>
        <w:rPr>
          <w:rFonts w:hint="eastAsia" w:ascii="仿宋" w:hAnsi="仿宋" w:eastAsia="仿宋"/>
          <w:sz w:val="32"/>
          <w:szCs w:val="32"/>
        </w:rPr>
        <w:t>万元，占</w:t>
      </w:r>
      <w:r>
        <w:rPr>
          <w:sz w:val="32"/>
          <w:szCs w:val="32"/>
        </w:rPr>
        <w:t>25.34</w:t>
      </w:r>
      <w:r>
        <w:rPr>
          <w:rFonts w:ascii="仿宋" w:hAnsi="仿宋" w:eastAsia="仿宋"/>
          <w:sz w:val="32"/>
          <w:szCs w:val="32"/>
        </w:rPr>
        <w:t>%</w:t>
      </w:r>
      <w:r>
        <w:rPr>
          <w:rFonts w:hint="eastAsia" w:ascii="仿宋" w:hAnsi="仿宋" w:eastAsia="仿宋"/>
          <w:sz w:val="32"/>
          <w:szCs w:val="32"/>
          <w:lang w:eastAsia="zh-CN"/>
        </w:rPr>
        <w:t>。</w:t>
      </w:r>
    </w:p>
    <w:p w14:paraId="1BACF109">
      <w:pPr>
        <w:pageBreakBefore w:val="0"/>
        <w:kinsoku/>
        <w:wordWrap/>
        <w:overflowPunct/>
        <w:topLinePunct w:val="0"/>
        <w:bidi w:val="0"/>
        <w:spacing w:line="440" w:lineRule="exact"/>
        <w:ind w:firstLine="640"/>
        <w:rPr>
          <w:rFonts w:ascii="仿宋" w:hAnsi="仿宋" w:eastAsia="仿宋"/>
          <w:sz w:val="32"/>
          <w:szCs w:val="32"/>
          <w:shd w:val="pct10" w:color="auto" w:fill="FFFFFF"/>
        </w:rPr>
      </w:pPr>
      <w:r>
        <w:drawing>
          <wp:anchor distT="0" distB="0" distL="114300" distR="114300" simplePos="0" relativeHeight="251662336" behindDoc="0" locked="0" layoutInCell="1" allowOverlap="1">
            <wp:simplePos x="0" y="0"/>
            <wp:positionH relativeFrom="column">
              <wp:posOffset>642620</wp:posOffset>
            </wp:positionH>
            <wp:positionV relativeFrom="paragraph">
              <wp:posOffset>128270</wp:posOffset>
            </wp:positionV>
            <wp:extent cx="3645535" cy="2133600"/>
            <wp:effectExtent l="4445" t="4445" r="7620" b="14605"/>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3EB00B7B">
      <w:pPr>
        <w:pageBreakBefore w:val="0"/>
        <w:kinsoku/>
        <w:wordWrap/>
        <w:overflowPunct/>
        <w:topLinePunct w:val="0"/>
        <w:bidi w:val="0"/>
        <w:spacing w:line="440" w:lineRule="exact"/>
        <w:ind w:firstLine="640"/>
        <w:rPr>
          <w:rFonts w:ascii="仿宋" w:hAnsi="仿宋" w:eastAsia="仿宋"/>
          <w:sz w:val="32"/>
          <w:szCs w:val="32"/>
          <w:shd w:val="pct10" w:color="auto" w:fill="FFFFFF"/>
        </w:rPr>
      </w:pPr>
    </w:p>
    <w:p w14:paraId="0DBA7336">
      <w:pPr>
        <w:pageBreakBefore w:val="0"/>
        <w:kinsoku/>
        <w:wordWrap/>
        <w:overflowPunct/>
        <w:topLinePunct w:val="0"/>
        <w:bidi w:val="0"/>
        <w:spacing w:line="440" w:lineRule="exact"/>
        <w:ind w:firstLine="640"/>
        <w:rPr>
          <w:rFonts w:ascii="仿宋" w:hAnsi="仿宋" w:eastAsia="仿宋"/>
          <w:sz w:val="32"/>
          <w:szCs w:val="32"/>
          <w:shd w:val="pct10" w:color="auto" w:fill="FFFFFF"/>
        </w:rPr>
      </w:pPr>
    </w:p>
    <w:p w14:paraId="5ED4A1DF">
      <w:pPr>
        <w:pageBreakBefore w:val="0"/>
        <w:kinsoku/>
        <w:wordWrap/>
        <w:overflowPunct/>
        <w:topLinePunct w:val="0"/>
        <w:bidi w:val="0"/>
        <w:spacing w:line="440" w:lineRule="exact"/>
        <w:ind w:firstLine="640"/>
        <w:rPr>
          <w:rFonts w:ascii="仿宋" w:hAnsi="仿宋" w:eastAsia="仿宋"/>
          <w:sz w:val="32"/>
          <w:szCs w:val="32"/>
          <w:shd w:val="pct10" w:color="auto" w:fill="FFFFFF"/>
        </w:rPr>
      </w:pPr>
    </w:p>
    <w:p w14:paraId="2BA4F322">
      <w:pPr>
        <w:pageBreakBefore w:val="0"/>
        <w:kinsoku/>
        <w:wordWrap/>
        <w:overflowPunct/>
        <w:topLinePunct w:val="0"/>
        <w:bidi w:val="0"/>
        <w:spacing w:line="440" w:lineRule="exact"/>
        <w:ind w:firstLine="640"/>
        <w:rPr>
          <w:rFonts w:ascii="仿宋" w:hAnsi="仿宋" w:eastAsia="仿宋"/>
          <w:sz w:val="32"/>
          <w:szCs w:val="32"/>
          <w:shd w:val="pct10" w:color="auto" w:fill="FFFFFF"/>
        </w:rPr>
      </w:pPr>
    </w:p>
    <w:p w14:paraId="75B763F8">
      <w:pPr>
        <w:pageBreakBefore w:val="0"/>
        <w:kinsoku/>
        <w:wordWrap/>
        <w:overflowPunct/>
        <w:topLinePunct w:val="0"/>
        <w:bidi w:val="0"/>
        <w:spacing w:line="440" w:lineRule="exact"/>
        <w:rPr>
          <w:rFonts w:hint="eastAsia" w:ascii="仿宋" w:hAnsi="仿宋" w:eastAsia="仿宋"/>
          <w:sz w:val="32"/>
          <w:szCs w:val="32"/>
        </w:rPr>
      </w:pPr>
    </w:p>
    <w:p w14:paraId="076E2028">
      <w:pPr>
        <w:pageBreakBefore w:val="0"/>
        <w:kinsoku/>
        <w:wordWrap/>
        <w:overflowPunct/>
        <w:topLinePunct w:val="0"/>
        <w:bidi w:val="0"/>
        <w:spacing w:line="440" w:lineRule="exact"/>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14:paraId="36CD5DCC">
      <w:pPr>
        <w:pageBreakBefore w:val="0"/>
        <w:kinsoku/>
        <w:wordWrap/>
        <w:overflowPunct/>
        <w:topLinePunct w:val="0"/>
        <w:bidi w:val="0"/>
        <w:spacing w:line="440" w:lineRule="exact"/>
        <w:ind w:firstLine="640" w:firstLineChars="200"/>
        <w:rPr>
          <w:rFonts w:hint="eastAsia" w:ascii="仿宋" w:hAnsi="仿宋" w:eastAsia="仿宋"/>
          <w:sz w:val="32"/>
          <w:szCs w:val="32"/>
          <w:lang w:val="en-US" w:eastAsia="zh-CN"/>
        </w:rPr>
      </w:pPr>
    </w:p>
    <w:p w14:paraId="7CC42E2A">
      <w:pPr>
        <w:pageBreakBefore w:val="0"/>
        <w:kinsoku/>
        <w:wordWrap/>
        <w:overflowPunct/>
        <w:topLinePunct w:val="0"/>
        <w:bidi w:val="0"/>
        <w:spacing w:line="440" w:lineRule="exact"/>
        <w:ind w:firstLine="640" w:firstLineChars="200"/>
        <w:rPr>
          <w:rFonts w:hint="eastAsia" w:ascii="仿宋" w:hAnsi="仿宋" w:eastAsia="仿宋"/>
          <w:sz w:val="32"/>
          <w:szCs w:val="32"/>
          <w:lang w:val="en-US" w:eastAsia="zh-CN"/>
        </w:rPr>
      </w:pPr>
    </w:p>
    <w:p w14:paraId="1A42F9C2">
      <w:pPr>
        <w:pageBreakBefore w:val="0"/>
        <w:kinsoku/>
        <w:wordWrap/>
        <w:overflowPunct/>
        <w:topLinePunct w:val="0"/>
        <w:bidi w:val="0"/>
        <w:spacing w:line="440" w:lineRule="exact"/>
        <w:ind w:firstLine="1920" w:firstLineChars="600"/>
        <w:rPr>
          <w:rFonts w:ascii="仿宋_GB2312" w:eastAsia="仿宋_GB2312"/>
          <w:sz w:val="32"/>
          <w:szCs w:val="32"/>
        </w:rPr>
      </w:pPr>
      <w:r>
        <w:rPr>
          <w:rFonts w:hint="eastAsia" w:ascii="仿宋" w:hAnsi="仿宋" w:eastAsia="仿宋"/>
          <w:sz w:val="32"/>
          <w:szCs w:val="32"/>
          <w:lang w:val="en-US" w:eastAsia="zh-CN"/>
        </w:rPr>
        <w:t>（</w:t>
      </w:r>
      <w:r>
        <w:rPr>
          <w:rFonts w:hint="eastAsia" w:ascii="仿宋" w:hAnsi="仿宋" w:eastAsia="仿宋"/>
          <w:sz w:val="32"/>
          <w:szCs w:val="32"/>
        </w:rPr>
        <w:t>图3：支出决算结构图）</w:t>
      </w:r>
    </w:p>
    <w:p w14:paraId="138225E1">
      <w:pPr>
        <w:pageBreakBefore w:val="0"/>
        <w:kinsoku/>
        <w:wordWrap/>
        <w:overflowPunct/>
        <w:topLinePunct w:val="0"/>
        <w:bidi w:val="0"/>
        <w:spacing w:line="440" w:lineRule="exact"/>
        <w:ind w:firstLine="640" w:firstLineChars="200"/>
        <w:outlineLvl w:val="1"/>
        <w:rPr>
          <w:rStyle w:val="32"/>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32"/>
          <w:rFonts w:hint="eastAsia" w:ascii="黑体" w:hAnsi="黑体" w:eastAsia="黑体"/>
          <w:b w:val="0"/>
        </w:rPr>
        <w:t>政拨款收入支出决算总体情况说明</w:t>
      </w:r>
      <w:bookmarkEnd w:id="24"/>
      <w:bookmarkEnd w:id="25"/>
    </w:p>
    <w:p w14:paraId="466953C1">
      <w:pPr>
        <w:pageBreakBefore w:val="0"/>
        <w:kinsoku/>
        <w:wordWrap/>
        <w:overflowPunct/>
        <w:topLinePunct w:val="0"/>
        <w:bidi w:val="0"/>
        <w:spacing w:line="440" w:lineRule="exact"/>
        <w:ind w:firstLine="640" w:firstLineChars="200"/>
        <w:jc w:val="left"/>
        <w:rPr>
          <w:rFonts w:ascii="仿宋" w:hAnsi="仿宋" w:eastAsia="仿宋"/>
          <w:sz w:val="32"/>
          <w:szCs w:val="32"/>
        </w:rPr>
      </w:pPr>
      <w:r>
        <w:rPr>
          <w:rFonts w:hint="eastAsia" w:ascii="仿宋" w:hAnsi="仿宋" w:eastAsia="仿宋"/>
          <w:sz w:val="32"/>
          <w:szCs w:val="32"/>
        </w:rPr>
        <w:t>2023年度财政拨款收、支总计均为</w:t>
      </w:r>
      <w:r>
        <w:rPr>
          <w:sz w:val="32"/>
          <w:szCs w:val="32"/>
        </w:rPr>
        <w:t>3735.21</w:t>
      </w:r>
      <w:r>
        <w:rPr>
          <w:rFonts w:hint="eastAsia" w:ascii="仿宋" w:hAnsi="仿宋" w:eastAsia="仿宋"/>
          <w:sz w:val="32"/>
          <w:szCs w:val="32"/>
        </w:rPr>
        <w:t>万元。与2022年度相比，财政拨款收、支总计各减少</w:t>
      </w:r>
      <w:r>
        <w:rPr>
          <w:rFonts w:hint="eastAsia" w:ascii="仿宋" w:hAnsi="仿宋" w:eastAsia="仿宋"/>
          <w:sz w:val="32"/>
          <w:szCs w:val="32"/>
          <w:lang w:val="en-US" w:eastAsia="zh-CN"/>
        </w:rPr>
        <w:t>407.64</w:t>
      </w:r>
      <w:r>
        <w:rPr>
          <w:rFonts w:hint="eastAsia" w:ascii="仿宋" w:hAnsi="仿宋" w:eastAsia="仿宋"/>
          <w:sz w:val="32"/>
          <w:szCs w:val="32"/>
        </w:rPr>
        <w:t>万元，下降</w:t>
      </w:r>
      <w:r>
        <w:rPr>
          <w:rFonts w:hint="eastAsia" w:ascii="仿宋" w:hAnsi="仿宋" w:eastAsia="仿宋"/>
          <w:sz w:val="32"/>
          <w:szCs w:val="32"/>
          <w:lang w:val="en-US" w:eastAsia="zh-CN"/>
        </w:rPr>
        <w:t>9.84</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eastAsia="仿宋_GB2312" w:cs="仿宋_GB2312"/>
          <w:color w:val="000000"/>
          <w:kern w:val="0"/>
          <w:sz w:val="32"/>
          <w:szCs w:val="32"/>
          <w:lang w:val="en-US" w:eastAsia="zh-CN"/>
        </w:rPr>
        <w:t>减少大型项目的开支</w:t>
      </w:r>
      <w:r>
        <w:rPr>
          <w:rFonts w:hint="eastAsia" w:ascii="仿宋" w:hAnsi="仿宋" w:eastAsia="仿宋"/>
          <w:sz w:val="32"/>
          <w:szCs w:val="32"/>
        </w:rPr>
        <w:t>。</w:t>
      </w:r>
    </w:p>
    <w:p w14:paraId="73501DE1">
      <w:pPr>
        <w:pageBreakBefore w:val="0"/>
        <w:kinsoku/>
        <w:wordWrap/>
        <w:overflowPunct/>
        <w:topLinePunct w:val="0"/>
        <w:bidi w:val="0"/>
        <w:spacing w:line="440" w:lineRule="exact"/>
        <w:rPr>
          <w:rFonts w:ascii="仿宋" w:hAnsi="仿宋" w:eastAsia="仿宋"/>
          <w:sz w:val="32"/>
          <w:szCs w:val="32"/>
        </w:rPr>
      </w:pPr>
      <w:r>
        <w:drawing>
          <wp:anchor distT="0" distB="0" distL="114300" distR="114300" simplePos="0" relativeHeight="251663360" behindDoc="0" locked="0" layoutInCell="1" allowOverlap="1">
            <wp:simplePos x="0" y="0"/>
            <wp:positionH relativeFrom="column">
              <wp:posOffset>394970</wp:posOffset>
            </wp:positionH>
            <wp:positionV relativeFrom="paragraph">
              <wp:posOffset>157480</wp:posOffset>
            </wp:positionV>
            <wp:extent cx="5081905" cy="2476500"/>
            <wp:effectExtent l="4445" t="4445" r="19050" b="14605"/>
            <wp:wrapSquare wrapText="bothSides"/>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14:paraId="3B3AFC34">
      <w:pPr>
        <w:pageBreakBefore w:val="0"/>
        <w:kinsoku/>
        <w:wordWrap/>
        <w:overflowPunct/>
        <w:topLinePunct w:val="0"/>
        <w:bidi w:val="0"/>
        <w:spacing w:line="440" w:lineRule="exact"/>
        <w:rPr>
          <w:rFonts w:ascii="仿宋" w:hAnsi="仿宋" w:eastAsia="仿宋"/>
          <w:sz w:val="32"/>
          <w:szCs w:val="32"/>
        </w:rPr>
      </w:pPr>
    </w:p>
    <w:p w14:paraId="3E20C412">
      <w:pPr>
        <w:pageBreakBefore w:val="0"/>
        <w:kinsoku/>
        <w:wordWrap/>
        <w:overflowPunct/>
        <w:topLinePunct w:val="0"/>
        <w:bidi w:val="0"/>
        <w:spacing w:line="440" w:lineRule="exact"/>
        <w:rPr>
          <w:rFonts w:ascii="仿宋" w:hAnsi="仿宋" w:eastAsia="仿宋"/>
          <w:sz w:val="32"/>
          <w:szCs w:val="32"/>
        </w:rPr>
      </w:pPr>
    </w:p>
    <w:p w14:paraId="0AA71FBC">
      <w:pPr>
        <w:pageBreakBefore w:val="0"/>
        <w:kinsoku/>
        <w:wordWrap/>
        <w:overflowPunct/>
        <w:topLinePunct w:val="0"/>
        <w:bidi w:val="0"/>
        <w:spacing w:line="440" w:lineRule="exact"/>
        <w:rPr>
          <w:rFonts w:ascii="仿宋" w:hAnsi="仿宋" w:eastAsia="仿宋"/>
          <w:sz w:val="32"/>
          <w:szCs w:val="32"/>
        </w:rPr>
      </w:pPr>
    </w:p>
    <w:p w14:paraId="33A8C340">
      <w:pPr>
        <w:pageBreakBefore w:val="0"/>
        <w:kinsoku/>
        <w:wordWrap/>
        <w:overflowPunct/>
        <w:topLinePunct w:val="0"/>
        <w:bidi w:val="0"/>
        <w:spacing w:line="440" w:lineRule="exact"/>
        <w:rPr>
          <w:rFonts w:ascii="仿宋" w:hAnsi="仿宋" w:eastAsia="仿宋"/>
          <w:sz w:val="32"/>
          <w:szCs w:val="32"/>
        </w:rPr>
      </w:pPr>
    </w:p>
    <w:p w14:paraId="0B76E41A">
      <w:pPr>
        <w:pageBreakBefore w:val="0"/>
        <w:kinsoku/>
        <w:wordWrap/>
        <w:overflowPunct/>
        <w:topLinePunct w:val="0"/>
        <w:bidi w:val="0"/>
        <w:spacing w:line="440" w:lineRule="exact"/>
        <w:rPr>
          <w:rFonts w:ascii="仿宋" w:hAnsi="仿宋" w:eastAsia="仿宋"/>
          <w:sz w:val="32"/>
          <w:szCs w:val="32"/>
        </w:rPr>
      </w:pPr>
    </w:p>
    <w:p w14:paraId="22047619">
      <w:pPr>
        <w:pageBreakBefore w:val="0"/>
        <w:kinsoku/>
        <w:wordWrap/>
        <w:overflowPunct/>
        <w:topLinePunct w:val="0"/>
        <w:bidi w:val="0"/>
        <w:spacing w:line="440" w:lineRule="exact"/>
        <w:rPr>
          <w:rFonts w:ascii="仿宋" w:hAnsi="仿宋" w:eastAsia="仿宋"/>
          <w:sz w:val="32"/>
          <w:szCs w:val="32"/>
        </w:rPr>
      </w:pPr>
    </w:p>
    <w:p w14:paraId="5CAB733C">
      <w:pPr>
        <w:pageBreakBefore w:val="0"/>
        <w:kinsoku/>
        <w:wordWrap/>
        <w:overflowPunct/>
        <w:topLinePunct w:val="0"/>
        <w:bidi w:val="0"/>
        <w:spacing w:line="440" w:lineRule="exact"/>
        <w:ind w:firstLine="960" w:firstLineChars="300"/>
        <w:rPr>
          <w:rFonts w:hint="eastAsia" w:ascii="仿宋" w:hAnsi="仿宋" w:eastAsia="仿宋"/>
          <w:sz w:val="32"/>
          <w:szCs w:val="32"/>
        </w:rPr>
      </w:pPr>
      <w:r>
        <w:rPr>
          <w:rFonts w:hint="eastAsia" w:ascii="仿宋" w:hAnsi="仿宋" w:eastAsia="仿宋"/>
          <w:sz w:val="32"/>
          <w:szCs w:val="32"/>
        </w:rPr>
        <w:t>（</w:t>
      </w:r>
    </w:p>
    <w:p w14:paraId="7378BCE5">
      <w:pPr>
        <w:pageBreakBefore w:val="0"/>
        <w:kinsoku/>
        <w:wordWrap/>
        <w:overflowPunct/>
        <w:topLinePunct w:val="0"/>
        <w:bidi w:val="0"/>
        <w:spacing w:line="440" w:lineRule="exact"/>
        <w:ind w:firstLine="960" w:firstLineChars="300"/>
        <w:rPr>
          <w:rFonts w:hint="eastAsia" w:ascii="仿宋" w:hAnsi="仿宋" w:eastAsia="仿宋"/>
          <w:sz w:val="32"/>
          <w:szCs w:val="32"/>
        </w:rPr>
      </w:pPr>
    </w:p>
    <w:p w14:paraId="1D532B36">
      <w:pPr>
        <w:pageBreakBefore w:val="0"/>
        <w:kinsoku/>
        <w:wordWrap/>
        <w:overflowPunct/>
        <w:topLinePunct w:val="0"/>
        <w:bidi w:val="0"/>
        <w:spacing w:line="440" w:lineRule="exact"/>
        <w:ind w:firstLine="960" w:firstLineChars="300"/>
        <w:rPr>
          <w:rFonts w:hint="eastAsia" w:ascii="仿宋" w:hAnsi="仿宋" w:eastAsia="仿宋"/>
          <w:sz w:val="32"/>
          <w:szCs w:val="32"/>
        </w:rPr>
      </w:pPr>
    </w:p>
    <w:p w14:paraId="134602F1">
      <w:pPr>
        <w:pageBreakBefore w:val="0"/>
        <w:kinsoku/>
        <w:wordWrap/>
        <w:overflowPunct/>
        <w:topLinePunct w:val="0"/>
        <w:bidi w:val="0"/>
        <w:spacing w:line="440" w:lineRule="exact"/>
        <w:ind w:firstLine="1280" w:firstLineChars="400"/>
        <w:rPr>
          <w:rFonts w:ascii="仿宋" w:hAnsi="仿宋" w:eastAsia="仿宋"/>
          <w:b/>
          <w:sz w:val="32"/>
          <w:szCs w:val="32"/>
        </w:rPr>
      </w:pPr>
      <w:r>
        <w:rPr>
          <w:rFonts w:hint="eastAsia" w:ascii="仿宋" w:hAnsi="仿宋" w:eastAsia="仿宋"/>
          <w:sz w:val="32"/>
          <w:szCs w:val="32"/>
          <w:lang w:eastAsia="zh-CN"/>
        </w:rPr>
        <w:t>（</w:t>
      </w:r>
      <w:r>
        <w:rPr>
          <w:rFonts w:hint="eastAsia" w:ascii="仿宋" w:hAnsi="仿宋" w:eastAsia="仿宋"/>
          <w:sz w:val="32"/>
          <w:szCs w:val="32"/>
        </w:rPr>
        <w:t>图4：财政拨款收、支决算总计变动情况）</w:t>
      </w:r>
    </w:p>
    <w:p w14:paraId="1F55D42D">
      <w:pPr>
        <w:pageBreakBefore w:val="0"/>
        <w:kinsoku/>
        <w:wordWrap/>
        <w:overflowPunct/>
        <w:topLinePunct w:val="0"/>
        <w:bidi w:val="0"/>
        <w:spacing w:line="440" w:lineRule="exact"/>
        <w:ind w:firstLine="640" w:firstLineChars="200"/>
        <w:outlineLvl w:val="1"/>
        <w:rPr>
          <w:rStyle w:val="32"/>
          <w:rFonts w:ascii="黑体" w:hAnsi="黑体" w:eastAsia="黑体"/>
          <w:b w:val="0"/>
        </w:rPr>
      </w:pPr>
      <w:bookmarkStart w:id="26" w:name="_Toc15396607"/>
      <w:bookmarkStart w:id="27" w:name="_Toc15377209"/>
      <w:r>
        <w:rPr>
          <w:rFonts w:hint="eastAsia" w:ascii="黑体" w:hAnsi="黑体" w:eastAsia="黑体"/>
          <w:sz w:val="32"/>
          <w:szCs w:val="32"/>
        </w:rPr>
        <w:t>五、</w:t>
      </w:r>
      <w:r>
        <w:rPr>
          <w:rFonts w:hint="eastAsia" w:ascii="黑体" w:hAnsi="黑体" w:eastAsia="黑体"/>
          <w:b/>
          <w:sz w:val="32"/>
          <w:szCs w:val="32"/>
        </w:rPr>
        <w:t>一</w:t>
      </w:r>
      <w:r>
        <w:rPr>
          <w:rStyle w:val="32"/>
          <w:rFonts w:hint="eastAsia" w:ascii="黑体" w:hAnsi="黑体" w:eastAsia="黑体"/>
          <w:b w:val="0"/>
        </w:rPr>
        <w:t>般公共预算财政拨款支出决算情况说明</w:t>
      </w:r>
      <w:bookmarkEnd w:id="26"/>
      <w:bookmarkEnd w:id="27"/>
    </w:p>
    <w:p w14:paraId="141E97D4">
      <w:pPr>
        <w:pageBreakBefore w:val="0"/>
        <w:kinsoku/>
        <w:wordWrap/>
        <w:overflowPunct/>
        <w:topLinePunct w:val="0"/>
        <w:bidi w:val="0"/>
        <w:spacing w:line="44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14:paraId="77FAD8A5">
      <w:pPr>
        <w:pageBreakBefore w:val="0"/>
        <w:kinsoku/>
        <w:wordWrap/>
        <w:overflowPunct/>
        <w:topLinePunct w:val="0"/>
        <w:bidi w:val="0"/>
        <w:spacing w:line="440" w:lineRule="exact"/>
        <w:ind w:firstLine="640" w:firstLineChars="200"/>
        <w:jc w:val="left"/>
        <w:rPr>
          <w:rFonts w:hint="eastAsia" w:ascii="仿宋" w:hAnsi="仿宋" w:eastAsia="仿宋"/>
          <w:sz w:val="32"/>
          <w:szCs w:val="32"/>
        </w:rPr>
      </w:pPr>
      <w:r>
        <w:rPr>
          <w:rFonts w:hint="eastAsia" w:ascii="仿宋" w:hAnsi="仿宋" w:eastAsia="仿宋"/>
          <w:sz w:val="32"/>
          <w:szCs w:val="32"/>
        </w:rPr>
        <w:t>2023年度一般公共预算财政拨款支出</w:t>
      </w:r>
      <w:r>
        <w:rPr>
          <w:sz w:val="32"/>
          <w:szCs w:val="32"/>
        </w:rPr>
        <w:t>3735.21</w:t>
      </w:r>
      <w:r>
        <w:rPr>
          <w:rFonts w:hint="eastAsia" w:ascii="仿宋" w:hAnsi="仿宋" w:eastAsia="仿宋"/>
          <w:sz w:val="32"/>
          <w:szCs w:val="32"/>
        </w:rPr>
        <w:t>万元，占本年支出合计的</w:t>
      </w:r>
      <w:r>
        <w:rPr>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。与2022年度相比，一般公共预算财政拨款支出减少</w:t>
      </w:r>
      <w:r>
        <w:rPr>
          <w:rFonts w:hint="eastAsia" w:ascii="仿宋" w:hAnsi="仿宋" w:eastAsia="仿宋"/>
          <w:sz w:val="32"/>
          <w:szCs w:val="32"/>
          <w:lang w:val="en-US" w:eastAsia="zh-CN"/>
        </w:rPr>
        <w:t>407.64</w:t>
      </w:r>
      <w:r>
        <w:rPr>
          <w:rFonts w:hint="eastAsia" w:ascii="仿宋" w:hAnsi="仿宋" w:eastAsia="仿宋"/>
          <w:sz w:val="32"/>
          <w:szCs w:val="32"/>
        </w:rPr>
        <w:t>万元，下降</w:t>
      </w:r>
      <w:r>
        <w:rPr>
          <w:rFonts w:hint="eastAsia" w:ascii="仿宋" w:hAnsi="仿宋" w:eastAsia="仿宋"/>
          <w:sz w:val="32"/>
          <w:szCs w:val="32"/>
          <w:lang w:val="en-US" w:eastAsia="zh-CN"/>
        </w:rPr>
        <w:t>9.84</w:t>
      </w:r>
      <w:r>
        <w:rPr>
          <w:rFonts w:ascii="仿宋" w:hAnsi="仿宋" w:eastAsia="仿宋"/>
          <w:sz w:val="32"/>
          <w:szCs w:val="32"/>
        </w:rPr>
        <w:t>%</w:t>
      </w:r>
      <w:r>
        <w:rPr>
          <w:rFonts w:hint="eastAsia" w:ascii="仿宋" w:hAnsi="仿宋" w:eastAsia="仿宋"/>
          <w:sz w:val="32"/>
          <w:szCs w:val="32"/>
        </w:rPr>
        <w:t>。主要变动原因是</w:t>
      </w:r>
      <w:r>
        <w:rPr>
          <w:rFonts w:hint="eastAsia" w:ascii="仿宋_GB2312" w:eastAsia="仿宋_GB2312" w:cs="仿宋_GB2312"/>
          <w:color w:val="000000"/>
          <w:kern w:val="0"/>
          <w:sz w:val="32"/>
          <w:szCs w:val="32"/>
          <w:lang w:val="en-US" w:eastAsia="zh-CN"/>
        </w:rPr>
        <w:t>减少大型项目的开支</w:t>
      </w:r>
      <w:r>
        <w:rPr>
          <w:rFonts w:hint="eastAsia" w:ascii="仿宋" w:hAnsi="仿宋" w:eastAsia="仿宋"/>
          <w:sz w:val="32"/>
          <w:szCs w:val="32"/>
        </w:rPr>
        <w:t>。</w:t>
      </w:r>
    </w:p>
    <w:p w14:paraId="3E81BDF7">
      <w:pPr>
        <w:pageBreakBefore w:val="0"/>
        <w:kinsoku/>
        <w:wordWrap/>
        <w:overflowPunct/>
        <w:topLinePunct w:val="0"/>
        <w:bidi w:val="0"/>
        <w:spacing w:line="440" w:lineRule="exact"/>
        <w:ind w:firstLine="630" w:firstLineChars="300"/>
        <w:jc w:val="left"/>
        <w:rPr>
          <w:rFonts w:ascii="仿宋" w:hAnsi="仿宋" w:eastAsia="仿宋"/>
          <w:sz w:val="32"/>
          <w:szCs w:val="32"/>
        </w:rPr>
      </w:pPr>
      <w:r>
        <w:drawing>
          <wp:anchor distT="0" distB="0" distL="114300" distR="114300" simplePos="0" relativeHeight="251664384" behindDoc="0" locked="0" layoutInCell="1" allowOverlap="1">
            <wp:simplePos x="0" y="0"/>
            <wp:positionH relativeFrom="column">
              <wp:posOffset>42545</wp:posOffset>
            </wp:positionH>
            <wp:positionV relativeFrom="paragraph">
              <wp:posOffset>170815</wp:posOffset>
            </wp:positionV>
            <wp:extent cx="5518785" cy="2277110"/>
            <wp:effectExtent l="4445" t="4445" r="20320" b="2349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Pr>
          <w:rFonts w:hint="eastAsia" w:ascii="仿宋" w:hAnsi="仿宋" w:eastAsia="仿宋"/>
          <w:sz w:val="32"/>
          <w:szCs w:val="32"/>
        </w:rPr>
        <w:t>（图5：一般公共预算财政拨款支出决算变动情况）</w:t>
      </w:r>
    </w:p>
    <w:p w14:paraId="47103E06">
      <w:pPr>
        <w:pageBreakBefore w:val="0"/>
        <w:kinsoku/>
        <w:wordWrap/>
        <w:overflowPunct/>
        <w:topLinePunct w:val="0"/>
        <w:bidi w:val="0"/>
        <w:spacing w:line="44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14:paraId="59541478">
      <w:pPr>
        <w:pageBreakBefore w:val="0"/>
        <w:kinsoku/>
        <w:wordWrap/>
        <w:overflowPunct/>
        <w:topLinePunct w:val="0"/>
        <w:bidi w:val="0"/>
        <w:spacing w:line="440" w:lineRule="exact"/>
        <w:ind w:firstLine="640"/>
        <w:rPr>
          <w:rFonts w:hint="eastAsia" w:ascii="仿宋" w:hAnsi="仿宋" w:eastAsia="仿宋"/>
          <w:sz w:val="32"/>
          <w:szCs w:val="32"/>
          <w:lang w:val="en-US" w:eastAsia="zh-CN"/>
        </w:rPr>
      </w:pPr>
      <w:r>
        <w:drawing>
          <wp:anchor distT="0" distB="0" distL="114300" distR="114300" simplePos="0" relativeHeight="251665408" behindDoc="0" locked="0" layoutInCell="1" allowOverlap="1">
            <wp:simplePos x="0" y="0"/>
            <wp:positionH relativeFrom="column">
              <wp:posOffset>280670</wp:posOffset>
            </wp:positionH>
            <wp:positionV relativeFrom="paragraph">
              <wp:posOffset>1564005</wp:posOffset>
            </wp:positionV>
            <wp:extent cx="4435475" cy="2725420"/>
            <wp:effectExtent l="4445" t="5080" r="17780" b="12700"/>
            <wp:wrapSquare wrapText="bothSides"/>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hint="eastAsia" w:ascii="仿宋" w:hAnsi="仿宋" w:eastAsia="仿宋"/>
          <w:sz w:val="32"/>
          <w:szCs w:val="32"/>
        </w:rPr>
        <w:t>2023年度一般公共预算财政拨款支出</w:t>
      </w:r>
      <w:r>
        <w:rPr>
          <w:sz w:val="32"/>
          <w:szCs w:val="32"/>
        </w:rPr>
        <w:t>3735.21</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w:t>
      </w:r>
      <w:r>
        <w:rPr>
          <w:rFonts w:hint="eastAsia" w:ascii="仿宋" w:hAnsi="仿宋" w:eastAsia="仿宋"/>
          <w:b/>
          <w:bCs/>
          <w:sz w:val="32"/>
          <w:szCs w:val="32"/>
          <w:lang w:val="en-US" w:eastAsia="zh-CN"/>
        </w:rPr>
        <w:t>27.81万元，</w:t>
      </w:r>
      <w:r>
        <w:rPr>
          <w:rFonts w:hint="eastAsia" w:ascii="仿宋" w:hAnsi="仿宋" w:eastAsia="仿宋"/>
          <w:sz w:val="32"/>
          <w:szCs w:val="32"/>
        </w:rPr>
        <w:t>占</w:t>
      </w:r>
      <w:r>
        <w:rPr>
          <w:rFonts w:hint="eastAsia" w:ascii="仿宋" w:hAnsi="仿宋" w:eastAsia="仿宋"/>
          <w:sz w:val="32"/>
          <w:szCs w:val="32"/>
          <w:lang w:val="en-US" w:eastAsia="zh-CN"/>
        </w:rPr>
        <w:t>0.74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w:t>
      </w:r>
      <w:r>
        <w:rPr>
          <w:rFonts w:hint="eastAsia" w:ascii="仿宋" w:hAnsi="仿宋" w:eastAsia="仿宋"/>
          <w:b/>
          <w:bCs/>
          <w:sz w:val="32"/>
          <w:szCs w:val="32"/>
          <w:lang w:val="en-US" w:eastAsia="zh-CN"/>
        </w:rPr>
        <w:t>3212.24</w:t>
      </w:r>
      <w:r>
        <w:rPr>
          <w:rFonts w:hint="eastAsia" w:ascii="仿宋" w:hAnsi="仿宋" w:eastAsia="仿宋"/>
          <w:b/>
          <w:bCs/>
          <w:sz w:val="32"/>
          <w:szCs w:val="32"/>
        </w:rPr>
        <w:t>万元，</w:t>
      </w:r>
      <w:r>
        <w:rPr>
          <w:rFonts w:hint="eastAsia" w:ascii="仿宋" w:hAnsi="仿宋" w:eastAsia="仿宋"/>
          <w:sz w:val="32"/>
          <w:szCs w:val="32"/>
        </w:rPr>
        <w:t>占</w:t>
      </w:r>
      <w:r>
        <w:rPr>
          <w:rFonts w:hint="eastAsia" w:ascii="仿宋" w:hAnsi="仿宋" w:eastAsia="仿宋"/>
          <w:sz w:val="32"/>
          <w:szCs w:val="32"/>
          <w:lang w:val="en-US" w:eastAsia="zh-CN"/>
        </w:rPr>
        <w:t>86.01</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b/>
          <w:bCs/>
          <w:sz w:val="32"/>
          <w:szCs w:val="32"/>
          <w:lang w:val="en-US" w:eastAsia="zh-CN"/>
        </w:rPr>
        <w:t>246.31万元</w:t>
      </w:r>
      <w:r>
        <w:rPr>
          <w:rFonts w:hint="eastAsia" w:ascii="仿宋" w:hAnsi="仿宋" w:eastAsia="仿宋"/>
          <w:sz w:val="32"/>
          <w:szCs w:val="32"/>
        </w:rPr>
        <w:t>，占</w:t>
      </w:r>
      <w:r>
        <w:rPr>
          <w:rFonts w:hint="eastAsia" w:ascii="仿宋" w:hAnsi="仿宋" w:eastAsia="仿宋"/>
          <w:sz w:val="32"/>
          <w:szCs w:val="32"/>
          <w:lang w:val="en-US" w:eastAsia="zh-CN"/>
        </w:rPr>
        <w:t>6.59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b/>
          <w:bCs/>
          <w:sz w:val="32"/>
          <w:szCs w:val="32"/>
          <w:lang w:val="en-US" w:eastAsia="zh-CN"/>
        </w:rPr>
        <w:t>100.27万元</w:t>
      </w:r>
      <w:r>
        <w:rPr>
          <w:rFonts w:hint="eastAsia" w:ascii="仿宋" w:hAnsi="仿宋" w:eastAsia="仿宋"/>
          <w:sz w:val="32"/>
          <w:szCs w:val="32"/>
        </w:rPr>
        <w:t>，占</w:t>
      </w:r>
      <w:r>
        <w:rPr>
          <w:rFonts w:hint="eastAsia" w:ascii="仿宋" w:hAnsi="仿宋" w:eastAsia="仿宋"/>
          <w:sz w:val="32"/>
          <w:szCs w:val="32"/>
          <w:lang w:val="en-US" w:eastAsia="zh-CN"/>
        </w:rPr>
        <w:t>2.68</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w:t>
      </w:r>
      <w:r>
        <w:rPr>
          <w:rFonts w:hint="eastAsia" w:ascii="仿宋" w:hAnsi="仿宋" w:eastAsia="仿宋"/>
          <w:b/>
          <w:bCs/>
          <w:sz w:val="32"/>
          <w:szCs w:val="32"/>
          <w:lang w:val="en-US" w:eastAsia="zh-CN"/>
        </w:rPr>
        <w:t>出148.58万元</w:t>
      </w:r>
      <w:r>
        <w:rPr>
          <w:rFonts w:hint="eastAsia" w:ascii="仿宋" w:hAnsi="仿宋" w:eastAsia="仿宋"/>
          <w:sz w:val="32"/>
          <w:szCs w:val="32"/>
        </w:rPr>
        <w:t>，占</w:t>
      </w:r>
      <w:r>
        <w:rPr>
          <w:rFonts w:hint="eastAsia" w:ascii="仿宋" w:hAnsi="仿宋" w:eastAsia="仿宋"/>
          <w:sz w:val="32"/>
          <w:szCs w:val="32"/>
          <w:lang w:val="en-US" w:eastAsia="zh-CN"/>
        </w:rPr>
        <w:t>3.98</w:t>
      </w:r>
      <w:r>
        <w:rPr>
          <w:rFonts w:ascii="仿宋" w:hAnsi="仿宋" w:eastAsia="仿宋"/>
          <w:sz w:val="32"/>
          <w:szCs w:val="32"/>
        </w:rPr>
        <w:t>%</w:t>
      </w:r>
      <w:r>
        <w:rPr>
          <w:rFonts w:hint="eastAsia" w:ascii="仿宋" w:hAnsi="仿宋" w:eastAsia="仿宋"/>
          <w:b/>
          <w:bCs/>
          <w:sz w:val="32"/>
          <w:szCs w:val="32"/>
          <w:lang w:val="en-US" w:eastAsia="zh-CN"/>
        </w:rPr>
        <w:t>。</w:t>
      </w:r>
    </w:p>
    <w:p w14:paraId="5E5924FD">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74FA4AE3">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048675DC">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35D4F774">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375B128C">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03E0E755">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54A04BA6">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79E61BEB">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4DCBE029">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6B1A2CAD">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01122A05">
      <w:pPr>
        <w:pageBreakBefore w:val="0"/>
        <w:kinsoku/>
        <w:wordWrap/>
        <w:overflowPunct/>
        <w:topLinePunct w:val="0"/>
        <w:bidi w:val="0"/>
        <w:spacing w:line="440" w:lineRule="exact"/>
        <w:ind w:firstLine="640" w:firstLineChars="200"/>
        <w:rPr>
          <w:rFonts w:hint="eastAsia" w:ascii="仿宋" w:hAnsi="仿宋" w:eastAsia="仿宋"/>
          <w:sz w:val="32"/>
          <w:szCs w:val="32"/>
        </w:rPr>
      </w:pPr>
    </w:p>
    <w:p w14:paraId="09C9B563">
      <w:pPr>
        <w:pageBreakBefore w:val="0"/>
        <w:kinsoku/>
        <w:wordWrap/>
        <w:overflowPunct/>
        <w:topLinePunct w:val="0"/>
        <w:bidi w:val="0"/>
        <w:spacing w:line="440" w:lineRule="exact"/>
        <w:ind w:firstLine="640" w:firstLineChars="200"/>
        <w:rPr>
          <w:rFonts w:hint="eastAsia" w:ascii="仿宋" w:hAnsi="仿宋" w:eastAsia="仿宋"/>
          <w:sz w:val="32"/>
          <w:szCs w:val="32"/>
        </w:rPr>
      </w:pPr>
      <w:r>
        <w:rPr>
          <w:rFonts w:hint="eastAsia" w:ascii="仿宋" w:hAnsi="仿宋" w:eastAsia="仿宋"/>
          <w:sz w:val="32"/>
          <w:szCs w:val="32"/>
        </w:rPr>
        <w:t>（图6：一般公共预算财政拨款支出决算结构）</w:t>
      </w:r>
    </w:p>
    <w:p w14:paraId="0324BDCD">
      <w:pPr>
        <w:pageBreakBefore w:val="0"/>
        <w:kinsoku/>
        <w:wordWrap/>
        <w:overflowPunct/>
        <w:topLinePunct w:val="0"/>
        <w:bidi w:val="0"/>
        <w:spacing w:line="44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14:paraId="31BFED73">
      <w:pPr>
        <w:pageBreakBefore w:val="0"/>
        <w:kinsoku/>
        <w:wordWrap/>
        <w:overflowPunct/>
        <w:topLinePunct w:val="0"/>
        <w:bidi w:val="0"/>
        <w:spacing w:line="440" w:lineRule="exact"/>
        <w:ind w:firstLine="643" w:firstLineChars="200"/>
        <w:outlineLvl w:val="2"/>
        <w:rPr>
          <w:rFonts w:ascii="仿宋" w:hAnsi="仿宋" w:eastAsia="仿宋"/>
          <w:sz w:val="32"/>
          <w:szCs w:val="32"/>
        </w:rPr>
      </w:pPr>
      <w:bookmarkStart w:id="31" w:name="_Toc15377444"/>
      <w:bookmarkStart w:id="32" w:name="_Toc15377213"/>
      <w:bookmarkStart w:id="33" w:name="_Toc15378460"/>
      <w:r>
        <w:rPr>
          <w:rFonts w:hint="eastAsia" w:ascii="仿宋" w:hAnsi="仿宋" w:eastAsia="仿宋"/>
          <w:b/>
          <w:sz w:val="32"/>
          <w:szCs w:val="32"/>
        </w:rPr>
        <w:t>2023年度一般公共预算支出决算数为</w:t>
      </w:r>
      <w:r>
        <w:rPr>
          <w:sz w:val="32"/>
          <w:szCs w:val="32"/>
        </w:rPr>
        <w:t>3735.21</w:t>
      </w:r>
      <w:r>
        <w:rPr>
          <w:rFonts w:hint="eastAsia" w:ascii="仿宋" w:hAnsi="仿宋" w:eastAsia="仿宋"/>
          <w:sz w:val="32"/>
          <w:szCs w:val="32"/>
        </w:rPr>
        <w:t>，</w:t>
      </w:r>
      <w:r>
        <w:rPr>
          <w:rStyle w:val="20"/>
          <w:rFonts w:hint="eastAsia" w:ascii="仿宋" w:hAnsi="仿宋" w:eastAsia="仿宋"/>
          <w:bCs/>
          <w:sz w:val="32"/>
          <w:szCs w:val="32"/>
        </w:rPr>
        <w:t>完成预算</w:t>
      </w:r>
      <w:r>
        <w:rPr>
          <w:rStyle w:val="20"/>
          <w:rFonts w:hint="eastAsia" w:ascii="仿宋" w:hAnsi="仿宋" w:eastAsia="仿宋"/>
          <w:bCs/>
          <w:sz w:val="32"/>
          <w:szCs w:val="32"/>
          <w:lang w:val="en-US" w:eastAsia="zh-CN"/>
        </w:rPr>
        <w:t>100</w:t>
      </w:r>
      <w:r>
        <w:rPr>
          <w:rStyle w:val="20"/>
          <w:rFonts w:ascii="仿宋" w:hAnsi="仿宋" w:eastAsia="仿宋"/>
          <w:bCs/>
          <w:sz w:val="32"/>
          <w:szCs w:val="32"/>
        </w:rPr>
        <w:t>%</w:t>
      </w:r>
      <w:r>
        <w:rPr>
          <w:rStyle w:val="20"/>
          <w:rFonts w:hint="eastAsia" w:ascii="仿宋" w:hAnsi="仿宋" w:eastAsia="仿宋"/>
          <w:bCs/>
          <w:sz w:val="32"/>
          <w:szCs w:val="32"/>
        </w:rPr>
        <w:t>。其中：</w:t>
      </w:r>
      <w:bookmarkEnd w:id="31"/>
      <w:bookmarkEnd w:id="32"/>
      <w:bookmarkEnd w:id="33"/>
    </w:p>
    <w:p w14:paraId="1CBCC190">
      <w:pPr>
        <w:pageBreakBefore w:val="0"/>
        <w:kinsoku/>
        <w:wordWrap/>
        <w:overflowPunct/>
        <w:topLinePunct w:val="0"/>
        <w:bidi w:val="0"/>
        <w:spacing w:line="440" w:lineRule="exact"/>
        <w:ind w:firstLine="643" w:firstLineChars="200"/>
        <w:rPr>
          <w:rFonts w:ascii="仿宋" w:hAnsi="仿宋" w:eastAsia="仿宋"/>
          <w:b/>
          <w:sz w:val="32"/>
          <w:szCs w:val="32"/>
        </w:rPr>
      </w:pPr>
      <w:r>
        <w:rPr>
          <w:rStyle w:val="20"/>
          <w:rFonts w:hint="eastAsia" w:ascii="仿宋" w:hAnsi="仿宋" w:eastAsia="仿宋"/>
          <w:bCs/>
          <w:sz w:val="32"/>
          <w:szCs w:val="32"/>
          <w:lang w:val="en-US" w:eastAsia="zh-CN"/>
        </w:rPr>
        <w:t>1</w:t>
      </w:r>
      <w:r>
        <w:rPr>
          <w:rStyle w:val="20"/>
          <w:rFonts w:ascii="仿宋" w:hAnsi="仿宋" w:eastAsia="仿宋"/>
          <w:bCs/>
          <w:sz w:val="32"/>
          <w:szCs w:val="32"/>
        </w:rPr>
        <w:t>.</w:t>
      </w:r>
      <w:r>
        <w:rPr>
          <w:rStyle w:val="20"/>
          <w:rFonts w:hint="eastAsia" w:ascii="仿宋" w:hAnsi="仿宋" w:eastAsia="仿宋"/>
          <w:bCs/>
          <w:sz w:val="32"/>
          <w:szCs w:val="32"/>
        </w:rPr>
        <w:t>科学技术</w:t>
      </w:r>
      <w:r>
        <w:rPr>
          <w:rStyle w:val="20"/>
          <w:rFonts w:hint="eastAsia" w:ascii="仿宋" w:hAnsi="仿宋" w:eastAsia="仿宋"/>
          <w:bCs/>
          <w:sz w:val="32"/>
          <w:szCs w:val="32"/>
          <w:lang w:val="en-US" w:eastAsia="zh-CN"/>
        </w:rPr>
        <w:t>支出</w:t>
      </w:r>
      <w:r>
        <w:rPr>
          <w:rStyle w:val="20"/>
          <w:rFonts w:ascii="仿宋" w:hAnsi="仿宋" w:eastAsia="仿宋"/>
          <w:bCs/>
          <w:sz w:val="32"/>
          <w:szCs w:val="32"/>
        </w:rPr>
        <w:t>:</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w:t>
      </w:r>
      <w:r>
        <w:rPr>
          <w:rStyle w:val="20"/>
          <w:rFonts w:hint="eastAsia" w:ascii="仿宋" w:hAnsi="仿宋" w:eastAsia="仿宋"/>
          <w:b w:val="0"/>
          <w:bCs/>
          <w:sz w:val="32"/>
          <w:szCs w:val="32"/>
          <w:lang w:val="en-US" w:eastAsia="zh-CN"/>
        </w:rPr>
        <w:t>27.81</w:t>
      </w:r>
      <w:r>
        <w:rPr>
          <w:rStyle w:val="20"/>
          <w:rFonts w:hint="eastAsia" w:ascii="仿宋" w:hAnsi="仿宋" w:eastAsia="仿宋"/>
          <w:b w:val="0"/>
          <w:bCs/>
          <w:sz w:val="32"/>
          <w:szCs w:val="32"/>
        </w:rPr>
        <w:t>万元，完成预算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w:t>
      </w:r>
      <w:r>
        <w:rPr>
          <w:rFonts w:hint="eastAsia" w:ascii="仿宋" w:hAnsi="仿宋" w:eastAsia="仿宋" w:cs="仿宋"/>
          <w:color w:val="000000"/>
          <w:kern w:val="0"/>
          <w:sz w:val="31"/>
          <w:szCs w:val="31"/>
          <w:lang w:val="en-US" w:eastAsia="zh-CN" w:bidi="ar"/>
        </w:rPr>
        <w:t>决算数与预算数持平</w:t>
      </w:r>
      <w:r>
        <w:rPr>
          <w:rStyle w:val="20"/>
          <w:rFonts w:hint="eastAsia" w:ascii="仿宋" w:hAnsi="仿宋" w:eastAsia="仿宋"/>
          <w:b w:val="0"/>
          <w:bCs/>
          <w:sz w:val="32"/>
          <w:szCs w:val="32"/>
        </w:rPr>
        <w:t>。</w:t>
      </w:r>
    </w:p>
    <w:p w14:paraId="4E2013A5">
      <w:pPr>
        <w:pageBreakBefore w:val="0"/>
        <w:kinsoku/>
        <w:wordWrap/>
        <w:overflowPunct/>
        <w:topLinePunct w:val="0"/>
        <w:bidi w:val="0"/>
        <w:spacing w:line="440" w:lineRule="exact"/>
        <w:ind w:firstLine="643" w:firstLineChars="200"/>
        <w:rPr>
          <w:rFonts w:ascii="仿宋" w:hAnsi="仿宋" w:eastAsia="仿宋"/>
          <w:b/>
          <w:sz w:val="32"/>
          <w:szCs w:val="32"/>
        </w:rPr>
      </w:pPr>
      <w:r>
        <w:rPr>
          <w:rStyle w:val="20"/>
          <w:rFonts w:hint="eastAsia" w:ascii="仿宋" w:hAnsi="仿宋" w:eastAsia="仿宋"/>
          <w:bCs/>
          <w:sz w:val="32"/>
          <w:szCs w:val="32"/>
          <w:lang w:val="en-US" w:eastAsia="zh-CN"/>
        </w:rPr>
        <w:t>2</w:t>
      </w:r>
      <w:r>
        <w:rPr>
          <w:rStyle w:val="20"/>
          <w:rFonts w:ascii="仿宋" w:hAnsi="仿宋" w:eastAsia="仿宋"/>
          <w:bCs/>
          <w:sz w:val="32"/>
          <w:szCs w:val="32"/>
        </w:rPr>
        <w:t>.</w:t>
      </w:r>
      <w:r>
        <w:rPr>
          <w:rStyle w:val="20"/>
          <w:rFonts w:hint="eastAsia" w:ascii="仿宋" w:hAnsi="仿宋" w:eastAsia="仿宋"/>
          <w:bCs/>
          <w:sz w:val="32"/>
          <w:szCs w:val="32"/>
        </w:rPr>
        <w:t>文化旅游体育与传媒</w:t>
      </w:r>
      <w:r>
        <w:rPr>
          <w:rStyle w:val="20"/>
          <w:rFonts w:hint="eastAsia" w:ascii="仿宋" w:hAnsi="仿宋" w:eastAsia="仿宋"/>
          <w:bCs/>
          <w:sz w:val="32"/>
          <w:szCs w:val="32"/>
          <w:lang w:val="en-US" w:eastAsia="zh-CN"/>
        </w:rPr>
        <w:t>支出</w:t>
      </w:r>
      <w:r>
        <w:rPr>
          <w:rStyle w:val="20"/>
          <w:rFonts w:ascii="仿宋" w:hAnsi="仿宋" w:eastAsia="仿宋"/>
          <w:bCs/>
          <w:sz w:val="32"/>
          <w:szCs w:val="32"/>
        </w:rPr>
        <w:t>:</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w:t>
      </w:r>
      <w:r>
        <w:rPr>
          <w:rStyle w:val="20"/>
          <w:rFonts w:hint="eastAsia" w:ascii="仿宋" w:hAnsi="仿宋" w:eastAsia="仿宋"/>
          <w:b w:val="0"/>
          <w:bCs/>
          <w:sz w:val="32"/>
          <w:szCs w:val="32"/>
          <w:lang w:val="en-US" w:eastAsia="zh-CN"/>
        </w:rPr>
        <w:t>3212.24</w:t>
      </w:r>
      <w:r>
        <w:rPr>
          <w:rStyle w:val="20"/>
          <w:rFonts w:hint="eastAsia" w:ascii="仿宋" w:hAnsi="仿宋" w:eastAsia="仿宋"/>
          <w:b w:val="0"/>
          <w:bCs/>
          <w:sz w:val="32"/>
          <w:szCs w:val="32"/>
        </w:rPr>
        <w:t>万元，完成预算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，决算数</w:t>
      </w:r>
      <w:r>
        <w:rPr>
          <w:rStyle w:val="20"/>
          <w:rFonts w:hint="eastAsia" w:ascii="仿宋" w:hAnsi="仿宋" w:eastAsia="仿宋"/>
          <w:b w:val="0"/>
          <w:bCs/>
          <w:sz w:val="32"/>
          <w:szCs w:val="32"/>
          <w:lang w:val="en-US" w:eastAsia="zh-CN"/>
        </w:rPr>
        <w:t>与</w:t>
      </w:r>
      <w:r>
        <w:rPr>
          <w:rStyle w:val="20"/>
          <w:rFonts w:hint="eastAsia" w:ascii="仿宋" w:hAnsi="仿宋" w:eastAsia="仿宋"/>
          <w:b w:val="0"/>
          <w:bCs/>
          <w:sz w:val="32"/>
          <w:szCs w:val="32"/>
        </w:rPr>
        <w:t>预算数</w:t>
      </w:r>
      <w:r>
        <w:rPr>
          <w:rStyle w:val="20"/>
          <w:rFonts w:hint="eastAsia" w:ascii="仿宋" w:hAnsi="仿宋" w:eastAsia="仿宋"/>
          <w:b w:val="0"/>
          <w:bCs/>
          <w:sz w:val="32"/>
          <w:szCs w:val="32"/>
          <w:lang w:val="en-US" w:eastAsia="zh-CN"/>
        </w:rPr>
        <w:t>持平</w:t>
      </w:r>
      <w:r>
        <w:rPr>
          <w:rStyle w:val="20"/>
          <w:rFonts w:hint="eastAsia" w:ascii="仿宋" w:hAnsi="仿宋" w:eastAsia="仿宋"/>
          <w:b w:val="0"/>
          <w:bCs/>
          <w:sz w:val="32"/>
          <w:szCs w:val="32"/>
        </w:rPr>
        <w:t>。</w:t>
      </w:r>
    </w:p>
    <w:p w14:paraId="0693CE9B">
      <w:pPr>
        <w:pageBreakBefore w:val="0"/>
        <w:kinsoku/>
        <w:wordWrap/>
        <w:overflowPunct/>
        <w:topLinePunct w:val="0"/>
        <w:bidi w:val="0"/>
        <w:spacing w:line="440" w:lineRule="exact"/>
        <w:ind w:firstLine="643" w:firstLineChars="200"/>
        <w:rPr>
          <w:rFonts w:ascii="仿宋" w:hAnsi="仿宋" w:eastAsia="仿宋"/>
          <w:b/>
          <w:sz w:val="32"/>
          <w:szCs w:val="32"/>
        </w:rPr>
      </w:pPr>
      <w:r>
        <w:rPr>
          <w:rStyle w:val="20"/>
          <w:rFonts w:hint="eastAsia" w:ascii="仿宋" w:hAnsi="仿宋" w:eastAsia="仿宋"/>
          <w:bCs/>
          <w:sz w:val="32"/>
          <w:szCs w:val="32"/>
          <w:lang w:val="en-US" w:eastAsia="zh-CN"/>
        </w:rPr>
        <w:t>3</w:t>
      </w:r>
      <w:r>
        <w:rPr>
          <w:rStyle w:val="20"/>
          <w:rFonts w:ascii="仿宋" w:hAnsi="仿宋" w:eastAsia="仿宋"/>
          <w:bCs/>
          <w:sz w:val="32"/>
          <w:szCs w:val="32"/>
        </w:rPr>
        <w:t>.</w:t>
      </w:r>
      <w:r>
        <w:rPr>
          <w:rStyle w:val="20"/>
          <w:rFonts w:hint="eastAsia" w:ascii="仿宋" w:hAnsi="仿宋" w:eastAsia="仿宋"/>
          <w:bCs/>
          <w:sz w:val="32"/>
          <w:szCs w:val="32"/>
        </w:rPr>
        <w:t>社会保障和就业</w:t>
      </w:r>
      <w:r>
        <w:rPr>
          <w:rStyle w:val="20"/>
          <w:rFonts w:hint="eastAsia" w:ascii="仿宋" w:hAnsi="仿宋" w:eastAsia="仿宋"/>
          <w:bCs/>
          <w:sz w:val="32"/>
          <w:szCs w:val="32"/>
          <w:lang w:val="en-US" w:eastAsia="zh-CN"/>
        </w:rPr>
        <w:t>支出</w:t>
      </w:r>
      <w:r>
        <w:rPr>
          <w:rStyle w:val="20"/>
          <w:rFonts w:ascii="仿宋" w:hAnsi="仿宋" w:eastAsia="仿宋"/>
          <w:bCs/>
          <w:sz w:val="32"/>
          <w:szCs w:val="32"/>
        </w:rPr>
        <w:t>:</w:t>
      </w:r>
      <w:r>
        <w:rPr>
          <w:rStyle w:val="20"/>
          <w:rFonts w:ascii="仿宋" w:hAnsi="仿宋" w:eastAsia="仿宋"/>
          <w:b w:val="0"/>
          <w:bCs/>
          <w:sz w:val="32"/>
          <w:szCs w:val="32"/>
        </w:rPr>
        <w:t xml:space="preserve"> </w:t>
      </w:r>
      <w:r>
        <w:rPr>
          <w:rStyle w:val="20"/>
          <w:rFonts w:hint="eastAsia" w:ascii="仿宋" w:hAnsi="仿宋" w:eastAsia="仿宋"/>
          <w:b w:val="0"/>
          <w:bCs/>
          <w:sz w:val="32"/>
          <w:szCs w:val="32"/>
        </w:rPr>
        <w:t>支出决算为</w:t>
      </w:r>
      <w:r>
        <w:rPr>
          <w:rStyle w:val="20"/>
          <w:rFonts w:hint="eastAsia" w:ascii="仿宋" w:hAnsi="仿宋" w:eastAsia="仿宋"/>
          <w:b w:val="0"/>
          <w:bCs/>
          <w:sz w:val="32"/>
          <w:szCs w:val="32"/>
          <w:lang w:val="en-US" w:eastAsia="zh-CN"/>
        </w:rPr>
        <w:t>246.31</w:t>
      </w:r>
      <w:r>
        <w:rPr>
          <w:rStyle w:val="20"/>
          <w:rFonts w:hint="eastAsia" w:ascii="仿宋" w:hAnsi="仿宋" w:eastAsia="仿宋"/>
          <w:b w:val="0"/>
          <w:bCs/>
          <w:sz w:val="32"/>
          <w:szCs w:val="32"/>
        </w:rPr>
        <w:t>万元，完成预算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，决算数</w:t>
      </w:r>
      <w:r>
        <w:rPr>
          <w:rStyle w:val="20"/>
          <w:rFonts w:hint="eastAsia" w:ascii="仿宋" w:hAnsi="仿宋" w:eastAsia="仿宋"/>
          <w:b w:val="0"/>
          <w:bCs/>
          <w:sz w:val="32"/>
          <w:szCs w:val="32"/>
          <w:lang w:val="en-US" w:eastAsia="zh-CN"/>
        </w:rPr>
        <w:t>与</w:t>
      </w:r>
      <w:r>
        <w:rPr>
          <w:rStyle w:val="20"/>
          <w:rFonts w:hint="eastAsia" w:ascii="仿宋" w:hAnsi="仿宋" w:eastAsia="仿宋"/>
          <w:b w:val="0"/>
          <w:bCs/>
          <w:sz w:val="32"/>
          <w:szCs w:val="32"/>
        </w:rPr>
        <w:t>预算数</w:t>
      </w:r>
      <w:r>
        <w:rPr>
          <w:rStyle w:val="20"/>
          <w:rFonts w:hint="eastAsia" w:ascii="仿宋" w:hAnsi="仿宋" w:eastAsia="仿宋"/>
          <w:b w:val="0"/>
          <w:bCs/>
          <w:sz w:val="32"/>
          <w:szCs w:val="32"/>
          <w:lang w:val="en-US" w:eastAsia="zh-CN"/>
        </w:rPr>
        <w:t>持平</w:t>
      </w:r>
      <w:r>
        <w:rPr>
          <w:rStyle w:val="20"/>
          <w:rFonts w:hint="eastAsia" w:ascii="仿宋" w:hAnsi="仿宋" w:eastAsia="仿宋"/>
          <w:b w:val="0"/>
          <w:bCs/>
          <w:sz w:val="32"/>
          <w:szCs w:val="32"/>
        </w:rPr>
        <w:t>。</w:t>
      </w:r>
    </w:p>
    <w:p w14:paraId="6B3480D7">
      <w:pPr>
        <w:pageBreakBefore w:val="0"/>
        <w:kinsoku/>
        <w:wordWrap/>
        <w:overflowPunct/>
        <w:topLinePunct w:val="0"/>
        <w:bidi w:val="0"/>
        <w:spacing w:line="440" w:lineRule="exact"/>
        <w:ind w:firstLine="643" w:firstLineChars="200"/>
        <w:rPr>
          <w:rStyle w:val="20"/>
          <w:rFonts w:hint="eastAsia" w:ascii="仿宋" w:hAnsi="仿宋" w:eastAsia="仿宋"/>
          <w:b w:val="0"/>
          <w:bCs/>
          <w:sz w:val="32"/>
          <w:szCs w:val="32"/>
        </w:rPr>
      </w:pPr>
      <w:r>
        <w:rPr>
          <w:rStyle w:val="20"/>
          <w:rFonts w:hint="eastAsia" w:ascii="仿宋" w:hAnsi="仿宋" w:eastAsia="仿宋"/>
          <w:bCs/>
          <w:sz w:val="32"/>
          <w:szCs w:val="32"/>
          <w:lang w:val="en-US" w:eastAsia="zh-CN"/>
        </w:rPr>
        <w:t>4</w:t>
      </w:r>
      <w:r>
        <w:rPr>
          <w:rStyle w:val="20"/>
          <w:rFonts w:ascii="仿宋" w:hAnsi="仿宋" w:eastAsia="仿宋"/>
          <w:bCs/>
          <w:sz w:val="32"/>
          <w:szCs w:val="32"/>
        </w:rPr>
        <w:t>.</w:t>
      </w:r>
      <w:r>
        <w:rPr>
          <w:rFonts w:hint="eastAsia" w:ascii="仿宋" w:hAnsi="仿宋" w:eastAsia="仿宋"/>
          <w:b/>
          <w:bCs/>
          <w:sz w:val="32"/>
          <w:szCs w:val="32"/>
        </w:rPr>
        <w:t>卫生健康</w:t>
      </w:r>
      <w:r>
        <w:rPr>
          <w:rStyle w:val="20"/>
          <w:rFonts w:hint="eastAsia" w:ascii="仿宋" w:hAnsi="仿宋" w:eastAsia="仿宋"/>
          <w:bCs/>
          <w:sz w:val="32"/>
          <w:szCs w:val="32"/>
          <w:lang w:val="en-US" w:eastAsia="zh-CN"/>
        </w:rPr>
        <w:t>支出</w:t>
      </w:r>
      <w:r>
        <w:rPr>
          <w:rStyle w:val="20"/>
          <w:rFonts w:ascii="仿宋" w:hAnsi="仿宋" w:eastAsia="仿宋"/>
          <w:bCs/>
          <w:sz w:val="32"/>
          <w:szCs w:val="32"/>
        </w:rPr>
        <w:t>:</w:t>
      </w:r>
      <w:r>
        <w:rPr>
          <w:rStyle w:val="20"/>
          <w:rFonts w:hint="eastAsia" w:ascii="仿宋" w:hAnsi="仿宋" w:eastAsia="仿宋"/>
          <w:b w:val="0"/>
          <w:bCs/>
          <w:sz w:val="32"/>
          <w:szCs w:val="32"/>
        </w:rPr>
        <w:t>支出决算为</w:t>
      </w:r>
      <w:r>
        <w:rPr>
          <w:rStyle w:val="20"/>
          <w:rFonts w:hint="eastAsia" w:ascii="仿宋" w:hAnsi="仿宋" w:eastAsia="仿宋"/>
          <w:b w:val="0"/>
          <w:bCs/>
          <w:sz w:val="32"/>
          <w:szCs w:val="32"/>
          <w:lang w:val="en-US" w:eastAsia="zh-CN"/>
        </w:rPr>
        <w:t>100.27</w:t>
      </w:r>
      <w:r>
        <w:rPr>
          <w:rStyle w:val="20"/>
          <w:rFonts w:hint="eastAsia" w:ascii="仿宋" w:hAnsi="仿宋" w:eastAsia="仿宋"/>
          <w:b w:val="0"/>
          <w:bCs/>
          <w:sz w:val="32"/>
          <w:szCs w:val="32"/>
        </w:rPr>
        <w:t>万元，完成预算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，决算数</w:t>
      </w:r>
      <w:r>
        <w:rPr>
          <w:rStyle w:val="20"/>
          <w:rFonts w:hint="eastAsia" w:ascii="仿宋" w:hAnsi="仿宋" w:eastAsia="仿宋"/>
          <w:b w:val="0"/>
          <w:bCs/>
          <w:sz w:val="32"/>
          <w:szCs w:val="32"/>
          <w:lang w:val="en-US" w:eastAsia="zh-CN"/>
        </w:rPr>
        <w:t>与</w:t>
      </w:r>
      <w:r>
        <w:rPr>
          <w:rStyle w:val="20"/>
          <w:rFonts w:hint="eastAsia" w:ascii="仿宋" w:hAnsi="仿宋" w:eastAsia="仿宋"/>
          <w:b w:val="0"/>
          <w:bCs/>
          <w:sz w:val="32"/>
          <w:szCs w:val="32"/>
        </w:rPr>
        <w:t>预算数</w:t>
      </w:r>
      <w:r>
        <w:rPr>
          <w:rStyle w:val="20"/>
          <w:rFonts w:hint="eastAsia" w:ascii="仿宋" w:hAnsi="仿宋" w:eastAsia="仿宋"/>
          <w:b w:val="0"/>
          <w:bCs/>
          <w:sz w:val="32"/>
          <w:szCs w:val="32"/>
          <w:lang w:val="en-US" w:eastAsia="zh-CN"/>
        </w:rPr>
        <w:t>持平</w:t>
      </w:r>
      <w:r>
        <w:rPr>
          <w:rStyle w:val="20"/>
          <w:rFonts w:hint="eastAsia" w:ascii="仿宋" w:hAnsi="仿宋" w:eastAsia="仿宋"/>
          <w:b w:val="0"/>
          <w:bCs/>
          <w:sz w:val="32"/>
          <w:szCs w:val="32"/>
        </w:rPr>
        <w:t>。</w:t>
      </w:r>
    </w:p>
    <w:p w14:paraId="57A3870F">
      <w:pPr>
        <w:pageBreakBefore w:val="0"/>
        <w:kinsoku/>
        <w:wordWrap/>
        <w:overflowPunct/>
        <w:topLinePunct w:val="0"/>
        <w:bidi w:val="0"/>
        <w:spacing w:line="440" w:lineRule="exact"/>
        <w:ind w:firstLine="643" w:firstLineChars="200"/>
        <w:rPr>
          <w:rFonts w:ascii="仿宋" w:hAnsi="仿宋" w:eastAsia="仿宋"/>
          <w:b/>
          <w:sz w:val="32"/>
          <w:szCs w:val="32"/>
        </w:rPr>
      </w:pPr>
      <w:r>
        <w:rPr>
          <w:rStyle w:val="20"/>
          <w:rFonts w:hint="eastAsia" w:ascii="仿宋" w:hAnsi="仿宋" w:eastAsia="仿宋"/>
          <w:bCs/>
          <w:sz w:val="32"/>
          <w:szCs w:val="32"/>
          <w:lang w:val="en-US" w:eastAsia="zh-CN"/>
        </w:rPr>
        <w:t>5</w:t>
      </w:r>
      <w:r>
        <w:rPr>
          <w:rStyle w:val="20"/>
          <w:rFonts w:ascii="仿宋" w:hAnsi="仿宋" w:eastAsia="仿宋"/>
          <w:bCs/>
          <w:sz w:val="32"/>
          <w:szCs w:val="32"/>
        </w:rPr>
        <w:t>.</w:t>
      </w:r>
      <w:r>
        <w:rPr>
          <w:rFonts w:hint="eastAsia" w:ascii="仿宋" w:hAnsi="仿宋" w:eastAsia="仿宋"/>
          <w:b/>
          <w:bCs/>
          <w:sz w:val="32"/>
          <w:szCs w:val="32"/>
          <w:lang w:val="en-US" w:eastAsia="zh-CN"/>
        </w:rPr>
        <w:t>住房保障</w:t>
      </w:r>
      <w:r>
        <w:rPr>
          <w:rStyle w:val="20"/>
          <w:rFonts w:hint="eastAsia" w:ascii="仿宋" w:hAnsi="仿宋" w:eastAsia="仿宋"/>
          <w:bCs/>
          <w:sz w:val="32"/>
          <w:szCs w:val="32"/>
          <w:lang w:val="en-US" w:eastAsia="zh-CN"/>
        </w:rPr>
        <w:t>支出</w:t>
      </w:r>
      <w:r>
        <w:rPr>
          <w:rStyle w:val="20"/>
          <w:rFonts w:ascii="仿宋" w:hAnsi="仿宋" w:eastAsia="仿宋"/>
          <w:bCs/>
          <w:sz w:val="32"/>
          <w:szCs w:val="32"/>
        </w:rPr>
        <w:t>:</w:t>
      </w:r>
      <w:r>
        <w:rPr>
          <w:rStyle w:val="20"/>
          <w:rFonts w:hint="eastAsia" w:ascii="仿宋" w:hAnsi="仿宋" w:eastAsia="仿宋"/>
          <w:b w:val="0"/>
          <w:bCs/>
          <w:sz w:val="32"/>
          <w:szCs w:val="32"/>
        </w:rPr>
        <w:t>支出决算为</w:t>
      </w:r>
      <w:r>
        <w:rPr>
          <w:rStyle w:val="20"/>
          <w:rFonts w:hint="eastAsia" w:ascii="仿宋" w:hAnsi="仿宋" w:eastAsia="仿宋"/>
          <w:b w:val="0"/>
          <w:bCs/>
          <w:sz w:val="32"/>
          <w:szCs w:val="32"/>
          <w:lang w:val="en-US" w:eastAsia="zh-CN"/>
        </w:rPr>
        <w:t>148.58</w:t>
      </w:r>
      <w:r>
        <w:rPr>
          <w:rStyle w:val="20"/>
          <w:rFonts w:hint="eastAsia" w:ascii="仿宋" w:hAnsi="仿宋" w:eastAsia="仿宋"/>
          <w:b w:val="0"/>
          <w:bCs/>
          <w:sz w:val="32"/>
          <w:szCs w:val="32"/>
        </w:rPr>
        <w:t>万元，完成预算</w:t>
      </w:r>
      <w:r>
        <w:rPr>
          <w:rStyle w:val="20"/>
          <w:rFonts w:hint="eastAsia" w:ascii="仿宋" w:hAnsi="仿宋" w:eastAsia="仿宋"/>
          <w:b w:val="0"/>
          <w:bCs/>
          <w:sz w:val="32"/>
          <w:szCs w:val="32"/>
          <w:lang w:val="en-US" w:eastAsia="zh-CN"/>
        </w:rPr>
        <w:t>100</w:t>
      </w:r>
      <w:r>
        <w:rPr>
          <w:rStyle w:val="20"/>
          <w:rFonts w:ascii="仿宋" w:hAnsi="仿宋" w:eastAsia="仿宋"/>
          <w:b w:val="0"/>
          <w:bCs/>
          <w:sz w:val="32"/>
          <w:szCs w:val="32"/>
        </w:rPr>
        <w:t>%</w:t>
      </w:r>
      <w:r>
        <w:rPr>
          <w:rStyle w:val="20"/>
          <w:rFonts w:hint="eastAsia" w:ascii="仿宋" w:hAnsi="仿宋" w:eastAsia="仿宋"/>
          <w:b w:val="0"/>
          <w:bCs/>
          <w:sz w:val="32"/>
          <w:szCs w:val="32"/>
        </w:rPr>
        <w:t>，决算数</w:t>
      </w:r>
      <w:r>
        <w:rPr>
          <w:rStyle w:val="20"/>
          <w:rFonts w:hint="eastAsia" w:ascii="仿宋" w:hAnsi="仿宋" w:eastAsia="仿宋"/>
          <w:b w:val="0"/>
          <w:bCs/>
          <w:sz w:val="32"/>
          <w:szCs w:val="32"/>
          <w:lang w:val="en-US" w:eastAsia="zh-CN"/>
        </w:rPr>
        <w:t>与</w:t>
      </w:r>
      <w:r>
        <w:rPr>
          <w:rStyle w:val="20"/>
          <w:rFonts w:hint="eastAsia" w:ascii="仿宋" w:hAnsi="仿宋" w:eastAsia="仿宋"/>
          <w:b w:val="0"/>
          <w:bCs/>
          <w:sz w:val="32"/>
          <w:szCs w:val="32"/>
        </w:rPr>
        <w:t>预算数</w:t>
      </w:r>
      <w:r>
        <w:rPr>
          <w:rStyle w:val="20"/>
          <w:rFonts w:hint="eastAsia" w:ascii="仿宋" w:hAnsi="仿宋" w:eastAsia="仿宋"/>
          <w:b w:val="0"/>
          <w:bCs/>
          <w:sz w:val="32"/>
          <w:szCs w:val="32"/>
          <w:lang w:val="en-US" w:eastAsia="zh-CN"/>
        </w:rPr>
        <w:t>持平</w:t>
      </w:r>
      <w:r>
        <w:rPr>
          <w:rStyle w:val="20"/>
          <w:rFonts w:hint="eastAsia" w:ascii="仿宋" w:hAnsi="仿宋" w:eastAsia="仿宋"/>
          <w:b w:val="0"/>
          <w:bCs/>
          <w:sz w:val="32"/>
          <w:szCs w:val="32"/>
        </w:rPr>
        <w:t>。</w:t>
      </w:r>
    </w:p>
    <w:p w14:paraId="709461AC">
      <w:pPr>
        <w:pageBreakBefore w:val="0"/>
        <w:tabs>
          <w:tab w:val="right" w:pos="8306"/>
        </w:tabs>
        <w:kinsoku/>
        <w:wordWrap/>
        <w:overflowPunct/>
        <w:topLinePunct w:val="0"/>
        <w:bidi w:val="0"/>
        <w:spacing w:line="440" w:lineRule="exact"/>
        <w:ind w:firstLine="640"/>
        <w:outlineLvl w:val="1"/>
        <w:rPr>
          <w:rStyle w:val="32"/>
        </w:rPr>
      </w:pPr>
      <w:bookmarkStart w:id="34" w:name="_Toc15377214"/>
      <w:bookmarkStart w:id="35"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2"/>
          <w:rFonts w:hint="eastAsia" w:ascii="黑体" w:hAnsi="黑体" w:eastAsia="黑体"/>
          <w:b w:val="0"/>
        </w:rPr>
        <w:t>般公共预算财政拨款基本支出决算情况说明</w:t>
      </w:r>
      <w:bookmarkEnd w:id="34"/>
      <w:bookmarkEnd w:id="35"/>
      <w:r>
        <w:rPr>
          <w:rStyle w:val="32"/>
          <w:rFonts w:ascii="黑体" w:hAnsi="黑体" w:eastAsia="黑体"/>
          <w:b w:val="0"/>
        </w:rPr>
        <w:tab/>
      </w:r>
    </w:p>
    <w:p w14:paraId="3A264EFE">
      <w:pPr>
        <w:pageBreakBefore w:val="0"/>
        <w:kinsoku/>
        <w:wordWrap/>
        <w:overflowPunct/>
        <w:topLinePunct w:val="0"/>
        <w:bidi w:val="0"/>
        <w:spacing w:line="44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sz w:val="32"/>
          <w:szCs w:val="32"/>
        </w:rPr>
        <w:t>2788.53</w:t>
      </w:r>
      <w:r>
        <w:rPr>
          <w:rFonts w:hint="eastAsia" w:ascii="仿宋" w:hAnsi="仿宋" w:eastAsia="仿宋"/>
          <w:sz w:val="32"/>
          <w:szCs w:val="32"/>
        </w:rPr>
        <w:t>万元，其中：</w:t>
      </w:r>
    </w:p>
    <w:p w14:paraId="18441287">
      <w:pPr>
        <w:pageBreakBefore w:val="0"/>
        <w:kinsoku/>
        <w:wordWrap/>
        <w:overflowPunct/>
        <w:topLinePunct w:val="0"/>
        <w:bidi w:val="0"/>
        <w:spacing w:line="44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sz w:val="32"/>
          <w:szCs w:val="32"/>
        </w:rPr>
        <w:t>2345.27</w:t>
      </w:r>
      <w:r>
        <w:rPr>
          <w:rFonts w:hint="eastAsia" w:ascii="仿宋" w:hAnsi="仿宋" w:eastAsia="仿宋"/>
          <w:sz w:val="32"/>
          <w:szCs w:val="32"/>
        </w:rPr>
        <w:t>万元，主要包括：基本工资</w:t>
      </w:r>
      <w:r>
        <w:rPr>
          <w:rFonts w:hint="eastAsia" w:ascii="仿宋" w:hAnsi="仿宋" w:eastAsia="仿宋"/>
          <w:sz w:val="32"/>
          <w:szCs w:val="32"/>
          <w:lang w:val="en-US" w:eastAsia="zh-CN"/>
        </w:rPr>
        <w:t>364.36万元</w:t>
      </w:r>
      <w:r>
        <w:rPr>
          <w:rFonts w:hint="eastAsia" w:ascii="仿宋" w:hAnsi="仿宋" w:eastAsia="仿宋"/>
          <w:sz w:val="32"/>
          <w:szCs w:val="32"/>
        </w:rPr>
        <w:t>、津贴补贴</w:t>
      </w:r>
      <w:r>
        <w:rPr>
          <w:rFonts w:hint="eastAsia" w:ascii="仿宋" w:hAnsi="仿宋" w:eastAsia="仿宋"/>
          <w:sz w:val="32"/>
          <w:szCs w:val="32"/>
          <w:lang w:val="en-US" w:eastAsia="zh-CN"/>
        </w:rPr>
        <w:t>342.33万元</w:t>
      </w:r>
      <w:r>
        <w:rPr>
          <w:rFonts w:hint="eastAsia" w:ascii="仿宋" w:hAnsi="仿宋" w:eastAsia="仿宋"/>
          <w:sz w:val="32"/>
          <w:szCs w:val="32"/>
        </w:rPr>
        <w:t>、奖金</w:t>
      </w:r>
      <w:r>
        <w:rPr>
          <w:rFonts w:hint="eastAsia" w:ascii="仿宋" w:hAnsi="仿宋" w:eastAsia="仿宋"/>
          <w:sz w:val="32"/>
          <w:szCs w:val="32"/>
          <w:lang w:val="en-US" w:eastAsia="zh-CN"/>
        </w:rPr>
        <w:t>461.45万元</w:t>
      </w:r>
      <w:r>
        <w:rPr>
          <w:rFonts w:hint="eastAsia" w:ascii="仿宋" w:hAnsi="仿宋" w:eastAsia="仿宋"/>
          <w:sz w:val="32"/>
          <w:szCs w:val="32"/>
        </w:rPr>
        <w:t>、伙食补助费</w:t>
      </w:r>
      <w:r>
        <w:rPr>
          <w:rFonts w:hint="eastAsia" w:ascii="仿宋" w:hAnsi="仿宋" w:eastAsia="仿宋"/>
          <w:sz w:val="32"/>
          <w:szCs w:val="32"/>
          <w:lang w:val="en-US" w:eastAsia="zh-CN"/>
        </w:rPr>
        <w:t>70.55万元</w:t>
      </w:r>
      <w:r>
        <w:rPr>
          <w:rFonts w:hint="eastAsia" w:ascii="仿宋" w:hAnsi="仿宋" w:eastAsia="仿宋"/>
          <w:sz w:val="32"/>
          <w:szCs w:val="32"/>
        </w:rPr>
        <w:t>、绩效工资</w:t>
      </w:r>
      <w:r>
        <w:rPr>
          <w:rFonts w:hint="eastAsia" w:ascii="仿宋" w:hAnsi="仿宋" w:eastAsia="仿宋"/>
          <w:sz w:val="32"/>
          <w:szCs w:val="32"/>
          <w:lang w:val="en-US" w:eastAsia="zh-CN"/>
        </w:rPr>
        <w:t>203.95万元</w:t>
      </w:r>
      <w:r>
        <w:rPr>
          <w:rFonts w:hint="eastAsia" w:ascii="仿宋" w:hAnsi="仿宋" w:eastAsia="仿宋"/>
          <w:sz w:val="32"/>
          <w:szCs w:val="32"/>
        </w:rPr>
        <w:t>、机关事业单位基本养老保险缴费</w:t>
      </w:r>
      <w:r>
        <w:rPr>
          <w:rFonts w:hint="eastAsia" w:ascii="仿宋" w:hAnsi="仿宋" w:eastAsia="仿宋"/>
          <w:sz w:val="32"/>
          <w:szCs w:val="32"/>
          <w:lang w:val="en-US" w:eastAsia="zh-CN"/>
        </w:rPr>
        <w:t>164.24万元</w:t>
      </w:r>
      <w:r>
        <w:rPr>
          <w:rFonts w:hint="eastAsia" w:ascii="仿宋" w:hAnsi="仿宋" w:eastAsia="仿宋"/>
          <w:sz w:val="32"/>
          <w:szCs w:val="32"/>
        </w:rPr>
        <w:t>、</w:t>
      </w:r>
      <w:r>
        <w:rPr>
          <w:rFonts w:hint="eastAsia" w:ascii="仿宋" w:hAnsi="仿宋" w:eastAsia="仿宋"/>
          <w:sz w:val="32"/>
          <w:szCs w:val="32"/>
          <w:lang w:val="en-US" w:eastAsia="zh-CN"/>
        </w:rPr>
        <w:t>职工基本医疗保险缴费81.30万元、</w:t>
      </w:r>
      <w:r>
        <w:rPr>
          <w:rFonts w:hint="eastAsia" w:ascii="仿宋" w:hAnsi="仿宋" w:eastAsia="仿宋"/>
          <w:sz w:val="32"/>
          <w:szCs w:val="32"/>
        </w:rPr>
        <w:t>职业年金缴费</w:t>
      </w:r>
      <w:r>
        <w:rPr>
          <w:rFonts w:hint="eastAsia" w:ascii="仿宋" w:hAnsi="仿宋" w:eastAsia="仿宋"/>
          <w:sz w:val="32"/>
          <w:szCs w:val="32"/>
          <w:lang w:val="en-US" w:eastAsia="zh-CN"/>
        </w:rPr>
        <w:t>82.07万元</w:t>
      </w:r>
      <w:r>
        <w:rPr>
          <w:rFonts w:hint="eastAsia" w:ascii="仿宋" w:hAnsi="仿宋" w:eastAsia="仿宋"/>
          <w:sz w:val="32"/>
          <w:szCs w:val="32"/>
        </w:rPr>
        <w:t>、其他社会保障缴费</w:t>
      </w:r>
      <w:r>
        <w:rPr>
          <w:rFonts w:hint="eastAsia" w:ascii="仿宋" w:hAnsi="仿宋" w:eastAsia="仿宋"/>
          <w:sz w:val="32"/>
          <w:szCs w:val="32"/>
          <w:lang w:val="en-US" w:eastAsia="zh-CN"/>
        </w:rPr>
        <w:t>40.07万元</w:t>
      </w:r>
      <w:r>
        <w:rPr>
          <w:rFonts w:hint="eastAsia" w:ascii="仿宋" w:hAnsi="仿宋" w:eastAsia="仿宋"/>
          <w:sz w:val="32"/>
          <w:szCs w:val="32"/>
        </w:rPr>
        <w:t>、其他工资福利支出</w:t>
      </w:r>
      <w:r>
        <w:rPr>
          <w:rFonts w:hint="eastAsia" w:ascii="仿宋" w:hAnsi="仿宋" w:eastAsia="仿宋"/>
          <w:sz w:val="32"/>
          <w:szCs w:val="32"/>
          <w:lang w:val="en-US" w:eastAsia="zh-CN"/>
        </w:rPr>
        <w:t>355.72万元</w:t>
      </w:r>
      <w:r>
        <w:rPr>
          <w:rFonts w:hint="eastAsia" w:ascii="仿宋" w:hAnsi="仿宋" w:eastAsia="仿宋"/>
          <w:sz w:val="32"/>
          <w:szCs w:val="32"/>
        </w:rPr>
        <w:t>、生活补助</w:t>
      </w:r>
      <w:r>
        <w:rPr>
          <w:rFonts w:hint="eastAsia" w:ascii="仿宋" w:hAnsi="仿宋" w:eastAsia="仿宋"/>
          <w:sz w:val="32"/>
          <w:szCs w:val="32"/>
          <w:lang w:val="en-US" w:eastAsia="zh-CN"/>
        </w:rPr>
        <w:t>32.83万元</w:t>
      </w:r>
      <w:r>
        <w:rPr>
          <w:rFonts w:hint="eastAsia" w:ascii="仿宋" w:hAnsi="仿宋" w:eastAsia="仿宋"/>
          <w:sz w:val="32"/>
          <w:szCs w:val="32"/>
        </w:rPr>
        <w:t>、奖励金</w:t>
      </w:r>
      <w:r>
        <w:rPr>
          <w:rFonts w:hint="eastAsia" w:ascii="仿宋" w:hAnsi="仿宋" w:eastAsia="仿宋"/>
          <w:sz w:val="32"/>
          <w:szCs w:val="32"/>
          <w:lang w:val="en-US" w:eastAsia="zh-CN"/>
        </w:rPr>
        <w:t>0.02万元</w:t>
      </w:r>
      <w:r>
        <w:rPr>
          <w:rFonts w:hint="eastAsia" w:ascii="仿宋" w:hAnsi="仿宋" w:eastAsia="仿宋"/>
          <w:sz w:val="32"/>
          <w:szCs w:val="32"/>
        </w:rPr>
        <w:t>、住房公积金</w:t>
      </w:r>
      <w:r>
        <w:rPr>
          <w:rFonts w:hint="eastAsia" w:ascii="仿宋" w:hAnsi="仿宋" w:eastAsia="仿宋"/>
          <w:sz w:val="32"/>
          <w:szCs w:val="32"/>
          <w:lang w:val="en-US" w:eastAsia="zh-CN"/>
        </w:rPr>
        <w:t>146.38万元</w:t>
      </w:r>
      <w:r>
        <w:rPr>
          <w:rFonts w:hint="eastAsia" w:ascii="仿宋" w:hAnsi="仿宋" w:eastAsia="仿宋"/>
          <w:sz w:val="32"/>
          <w:szCs w:val="32"/>
        </w:rPr>
        <w:t>等。</w:t>
      </w:r>
    </w:p>
    <w:p w14:paraId="59C875E8">
      <w:pPr>
        <w:pageBreakBefore w:val="0"/>
        <w:kinsoku/>
        <w:wordWrap/>
        <w:overflowPunct/>
        <w:topLinePunct w:val="0"/>
        <w:bidi w:val="0"/>
        <w:spacing w:line="440" w:lineRule="exact"/>
        <w:ind w:firstLine="645"/>
        <w:rPr>
          <w:rFonts w:ascii="仿宋" w:hAnsi="仿宋" w:eastAsia="仿宋"/>
          <w:b/>
          <w:sz w:val="32"/>
          <w:szCs w:val="32"/>
        </w:rPr>
      </w:pPr>
      <w:r>
        <w:rPr>
          <w:rFonts w:hint="eastAsia" w:ascii="仿宋" w:hAnsi="仿宋" w:eastAsia="仿宋"/>
          <w:sz w:val="32"/>
          <w:szCs w:val="32"/>
        </w:rPr>
        <w:t>公用经费</w:t>
      </w:r>
      <w:r>
        <w:rPr>
          <w:sz w:val="32"/>
          <w:szCs w:val="32"/>
        </w:rPr>
        <w:t>443.25</w:t>
      </w:r>
      <w:r>
        <w:rPr>
          <w:rFonts w:hint="eastAsia" w:ascii="仿宋" w:hAnsi="仿宋" w:eastAsia="仿宋"/>
          <w:sz w:val="32"/>
          <w:szCs w:val="32"/>
        </w:rPr>
        <w:t>万元，主要包括：办公费</w:t>
      </w:r>
      <w:r>
        <w:rPr>
          <w:rFonts w:hint="eastAsia" w:ascii="仿宋" w:hAnsi="仿宋" w:eastAsia="仿宋"/>
          <w:sz w:val="32"/>
          <w:szCs w:val="32"/>
          <w:lang w:val="en-US" w:eastAsia="zh-CN"/>
        </w:rPr>
        <w:t>50.18万元</w:t>
      </w:r>
      <w:r>
        <w:rPr>
          <w:rFonts w:hint="eastAsia" w:ascii="仿宋" w:hAnsi="仿宋" w:eastAsia="仿宋"/>
          <w:sz w:val="32"/>
          <w:szCs w:val="32"/>
        </w:rPr>
        <w:t>、邮电费</w:t>
      </w:r>
      <w:r>
        <w:rPr>
          <w:rFonts w:hint="eastAsia" w:ascii="仿宋" w:hAnsi="仿宋" w:eastAsia="仿宋"/>
          <w:sz w:val="32"/>
          <w:szCs w:val="32"/>
          <w:lang w:val="en-US" w:eastAsia="zh-CN"/>
        </w:rPr>
        <w:t>23.33万元</w:t>
      </w:r>
      <w:r>
        <w:rPr>
          <w:rFonts w:hint="eastAsia" w:ascii="仿宋" w:hAnsi="仿宋" w:eastAsia="仿宋"/>
          <w:sz w:val="32"/>
          <w:szCs w:val="32"/>
        </w:rPr>
        <w:t>、差旅费</w:t>
      </w:r>
      <w:r>
        <w:rPr>
          <w:rFonts w:hint="eastAsia" w:ascii="仿宋" w:hAnsi="仿宋" w:eastAsia="仿宋"/>
          <w:sz w:val="32"/>
          <w:szCs w:val="32"/>
          <w:lang w:val="en-US" w:eastAsia="zh-CN"/>
        </w:rPr>
        <w:t>83.01万元</w:t>
      </w:r>
      <w:r>
        <w:rPr>
          <w:rFonts w:hint="eastAsia" w:ascii="仿宋" w:hAnsi="仿宋" w:eastAsia="仿宋"/>
          <w:color w:val="auto"/>
          <w:sz w:val="32"/>
          <w:szCs w:val="32"/>
        </w:rPr>
        <w:t>、维修（护）费</w:t>
      </w:r>
      <w:r>
        <w:rPr>
          <w:rFonts w:hint="eastAsia" w:ascii="仿宋" w:hAnsi="仿宋" w:eastAsia="仿宋"/>
          <w:color w:val="auto"/>
          <w:sz w:val="32"/>
          <w:szCs w:val="32"/>
          <w:lang w:val="en-US" w:eastAsia="zh-CN"/>
        </w:rPr>
        <w:t>61.77万元</w:t>
      </w:r>
      <w:r>
        <w:rPr>
          <w:rFonts w:hint="eastAsia" w:ascii="仿宋" w:hAnsi="仿宋" w:eastAsia="仿宋"/>
          <w:color w:val="auto"/>
          <w:sz w:val="32"/>
          <w:szCs w:val="32"/>
        </w:rPr>
        <w:t>、培训费</w:t>
      </w:r>
      <w:r>
        <w:rPr>
          <w:rFonts w:hint="eastAsia" w:ascii="仿宋" w:hAnsi="仿宋" w:eastAsia="仿宋"/>
          <w:color w:val="auto"/>
          <w:sz w:val="32"/>
          <w:szCs w:val="32"/>
          <w:lang w:val="en-US" w:eastAsia="zh-CN"/>
        </w:rPr>
        <w:t>1.39万元</w:t>
      </w:r>
      <w:r>
        <w:rPr>
          <w:rFonts w:hint="eastAsia" w:ascii="仿宋" w:hAnsi="仿宋" w:eastAsia="仿宋"/>
          <w:color w:val="auto"/>
          <w:sz w:val="32"/>
          <w:szCs w:val="32"/>
        </w:rPr>
        <w:t>、公务接待费</w:t>
      </w:r>
      <w:r>
        <w:rPr>
          <w:rFonts w:hint="eastAsia" w:ascii="仿宋" w:hAnsi="仿宋" w:eastAsia="仿宋"/>
          <w:color w:val="auto"/>
          <w:sz w:val="32"/>
          <w:szCs w:val="32"/>
          <w:lang w:val="en-US" w:eastAsia="zh-CN"/>
        </w:rPr>
        <w:t>9.54万元</w:t>
      </w:r>
      <w:r>
        <w:rPr>
          <w:rFonts w:hint="eastAsia" w:ascii="仿宋" w:hAnsi="仿宋" w:eastAsia="仿宋"/>
          <w:color w:val="auto"/>
          <w:sz w:val="32"/>
          <w:szCs w:val="32"/>
        </w:rPr>
        <w:t>、劳务费</w:t>
      </w:r>
      <w:r>
        <w:rPr>
          <w:rFonts w:hint="eastAsia" w:ascii="仿宋" w:hAnsi="仿宋" w:eastAsia="仿宋"/>
          <w:color w:val="auto"/>
          <w:sz w:val="32"/>
          <w:szCs w:val="32"/>
          <w:lang w:val="en-US" w:eastAsia="zh-CN"/>
        </w:rPr>
        <w:t>1.56万元</w:t>
      </w:r>
      <w:r>
        <w:rPr>
          <w:rFonts w:hint="eastAsia" w:ascii="仿宋" w:hAnsi="仿宋" w:eastAsia="仿宋"/>
          <w:color w:val="auto"/>
          <w:sz w:val="32"/>
          <w:szCs w:val="32"/>
        </w:rPr>
        <w:t>、委托业务费</w:t>
      </w:r>
      <w:r>
        <w:rPr>
          <w:rFonts w:hint="eastAsia" w:ascii="仿宋" w:hAnsi="仿宋" w:eastAsia="仿宋"/>
          <w:color w:val="auto"/>
          <w:sz w:val="32"/>
          <w:szCs w:val="32"/>
          <w:lang w:val="en-US" w:eastAsia="zh-CN"/>
        </w:rPr>
        <w:t>0.92万元</w:t>
      </w:r>
      <w:r>
        <w:rPr>
          <w:rFonts w:hint="eastAsia" w:ascii="仿宋" w:hAnsi="仿宋" w:eastAsia="仿宋"/>
          <w:color w:val="auto"/>
          <w:sz w:val="32"/>
          <w:szCs w:val="32"/>
        </w:rPr>
        <w:t>、福利费</w:t>
      </w:r>
      <w:r>
        <w:rPr>
          <w:rFonts w:hint="eastAsia" w:ascii="仿宋" w:hAnsi="仿宋" w:eastAsia="仿宋"/>
          <w:color w:val="auto"/>
          <w:sz w:val="32"/>
          <w:szCs w:val="32"/>
          <w:lang w:val="en-US" w:eastAsia="zh-CN"/>
        </w:rPr>
        <w:t>15.58万元</w:t>
      </w:r>
      <w:r>
        <w:rPr>
          <w:rFonts w:hint="eastAsia" w:ascii="仿宋" w:hAnsi="仿宋" w:eastAsia="仿宋"/>
          <w:color w:val="auto"/>
          <w:sz w:val="32"/>
          <w:szCs w:val="32"/>
        </w:rPr>
        <w:t>、公务用车运行维护费</w:t>
      </w:r>
      <w:r>
        <w:rPr>
          <w:rFonts w:hint="eastAsia" w:ascii="仿宋" w:hAnsi="仿宋" w:eastAsia="仿宋"/>
          <w:color w:val="auto"/>
          <w:sz w:val="32"/>
          <w:szCs w:val="32"/>
          <w:lang w:val="en-US" w:eastAsia="zh-CN"/>
        </w:rPr>
        <w:t>106.01万元</w:t>
      </w:r>
      <w:r>
        <w:rPr>
          <w:rFonts w:hint="eastAsia" w:ascii="仿宋" w:hAnsi="仿宋" w:eastAsia="仿宋"/>
          <w:color w:val="auto"/>
          <w:sz w:val="32"/>
          <w:szCs w:val="32"/>
        </w:rPr>
        <w:t>、其他交通费</w:t>
      </w:r>
      <w:r>
        <w:rPr>
          <w:rFonts w:hint="eastAsia" w:ascii="仿宋" w:hAnsi="仿宋" w:eastAsia="仿宋"/>
          <w:color w:val="auto"/>
          <w:sz w:val="32"/>
          <w:szCs w:val="32"/>
          <w:lang w:val="en-US" w:eastAsia="zh-CN"/>
        </w:rPr>
        <w:t>1.32万元</w:t>
      </w:r>
      <w:r>
        <w:rPr>
          <w:rFonts w:hint="eastAsia" w:ascii="仿宋" w:hAnsi="仿宋" w:eastAsia="仿宋"/>
          <w:color w:val="auto"/>
          <w:sz w:val="32"/>
          <w:szCs w:val="32"/>
        </w:rPr>
        <w:t>、其他商品和服务支</w:t>
      </w:r>
      <w:r>
        <w:rPr>
          <w:rFonts w:hint="eastAsia" w:ascii="仿宋" w:hAnsi="仿宋" w:eastAsia="仿宋"/>
          <w:sz w:val="32"/>
          <w:szCs w:val="32"/>
        </w:rPr>
        <w:t>出</w:t>
      </w:r>
      <w:r>
        <w:rPr>
          <w:rFonts w:hint="eastAsia" w:ascii="仿宋" w:hAnsi="仿宋" w:eastAsia="仿宋"/>
          <w:sz w:val="32"/>
          <w:szCs w:val="32"/>
          <w:lang w:val="en-US" w:eastAsia="zh-CN"/>
        </w:rPr>
        <w:t>29.04万元</w:t>
      </w:r>
      <w:r>
        <w:rPr>
          <w:rFonts w:hint="eastAsia" w:ascii="仿宋" w:hAnsi="仿宋" w:eastAsia="仿宋"/>
          <w:sz w:val="32"/>
          <w:szCs w:val="32"/>
        </w:rPr>
        <w:t>、</w:t>
      </w:r>
      <w:r>
        <w:rPr>
          <w:rFonts w:hint="eastAsia" w:ascii="仿宋" w:hAnsi="仿宋" w:eastAsia="仿宋"/>
          <w:sz w:val="32"/>
          <w:szCs w:val="32"/>
          <w:lang w:val="en-US" w:eastAsia="zh-CN"/>
        </w:rPr>
        <w:t>公务用车购置59.58万元</w:t>
      </w:r>
      <w:r>
        <w:rPr>
          <w:rFonts w:hint="eastAsia" w:ascii="仿宋" w:hAnsi="仿宋" w:eastAsia="仿宋"/>
          <w:sz w:val="32"/>
          <w:szCs w:val="32"/>
        </w:rPr>
        <w:t>等。</w:t>
      </w:r>
    </w:p>
    <w:p w14:paraId="360CB454">
      <w:pPr>
        <w:pageBreakBefore w:val="0"/>
        <w:kinsoku/>
        <w:wordWrap/>
        <w:overflowPunct/>
        <w:topLinePunct w:val="0"/>
        <w:bidi w:val="0"/>
        <w:spacing w:line="440" w:lineRule="exact"/>
        <w:ind w:firstLine="640"/>
        <w:outlineLvl w:val="1"/>
        <w:rPr>
          <w:rStyle w:val="32"/>
          <w:rFonts w:ascii="黑体" w:hAnsi="黑体" w:eastAsia="黑体"/>
          <w:b w:val="0"/>
        </w:rPr>
      </w:pPr>
      <w:bookmarkStart w:id="36" w:name="_Toc15377215"/>
      <w:bookmarkStart w:id="37" w:name="_Toc15396609"/>
      <w:r>
        <w:rPr>
          <w:rFonts w:hint="eastAsia" w:ascii="黑体" w:eastAsia="黑体"/>
          <w:sz w:val="32"/>
          <w:szCs w:val="32"/>
        </w:rPr>
        <w:t>七、</w:t>
      </w:r>
      <w:r>
        <w:rPr>
          <w:rStyle w:val="32"/>
          <w:rFonts w:hint="eastAsia" w:ascii="黑体" w:hAnsi="黑体" w:eastAsia="黑体"/>
          <w:b w:val="0"/>
        </w:rPr>
        <w:t>财政拨款</w:t>
      </w:r>
      <w:r>
        <w:rPr>
          <w:rStyle w:val="32"/>
          <w:rFonts w:hint="eastAsia" w:ascii="黑体" w:hAnsi="黑体" w:eastAsia="黑体"/>
        </w:rPr>
        <w:t>“</w:t>
      </w:r>
      <w:r>
        <w:rPr>
          <w:rStyle w:val="32"/>
          <w:rFonts w:hint="eastAsia" w:ascii="黑体" w:hAnsi="黑体" w:eastAsia="黑体"/>
          <w:b w:val="0"/>
        </w:rPr>
        <w:t>三公”经费支出决算情况说明</w:t>
      </w:r>
      <w:bookmarkEnd w:id="36"/>
      <w:bookmarkEnd w:id="37"/>
    </w:p>
    <w:p w14:paraId="101C7436">
      <w:pPr>
        <w:pageBreakBefore w:val="0"/>
        <w:kinsoku/>
        <w:wordWrap/>
        <w:overflowPunct/>
        <w:topLinePunct w:val="0"/>
        <w:bidi w:val="0"/>
        <w:spacing w:line="44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14:paraId="272D774F">
      <w:pPr>
        <w:pageBreakBefore w:val="0"/>
        <w:kinsoku/>
        <w:wordWrap/>
        <w:overflowPunct/>
        <w:topLinePunct w:val="0"/>
        <w:bidi w:val="0"/>
        <w:spacing w:line="440" w:lineRule="exact"/>
        <w:ind w:firstLine="640"/>
        <w:rPr>
          <w:rFonts w:hint="eastAsia" w:ascii="仿宋" w:hAnsi="仿宋" w:eastAsia="仿宋"/>
          <w:sz w:val="32"/>
          <w:szCs w:val="32"/>
        </w:rPr>
      </w:pPr>
      <w:r>
        <w:rPr>
          <w:rFonts w:hint="eastAsia" w:ascii="仿宋" w:hAnsi="仿宋" w:eastAsia="仿宋"/>
          <w:sz w:val="32"/>
          <w:szCs w:val="32"/>
        </w:rPr>
        <w:t>2023年度“三公”经费财政拨款支出决算为</w:t>
      </w:r>
      <w:r>
        <w:rPr>
          <w:sz w:val="32"/>
          <w:szCs w:val="32"/>
        </w:rPr>
        <w:t>220.75</w:t>
      </w:r>
      <w:r>
        <w:rPr>
          <w:rFonts w:hint="eastAsia" w:ascii="仿宋" w:hAnsi="仿宋" w:eastAsia="仿宋"/>
          <w:sz w:val="32"/>
          <w:szCs w:val="32"/>
        </w:rPr>
        <w:t>万元，完成预算</w:t>
      </w:r>
      <w:r>
        <w:rPr>
          <w:sz w:val="32"/>
          <w:szCs w:val="32"/>
        </w:rPr>
        <w:t>96.79</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72.32</w:t>
      </w:r>
      <w:r>
        <w:rPr>
          <w:rFonts w:hint="eastAsia" w:ascii="仿宋" w:hAnsi="仿宋" w:eastAsia="仿宋"/>
          <w:sz w:val="32"/>
          <w:szCs w:val="32"/>
        </w:rPr>
        <w:t>万元，增长</w:t>
      </w:r>
      <w:r>
        <w:rPr>
          <w:rFonts w:hint="eastAsia" w:ascii="仿宋" w:hAnsi="仿宋" w:eastAsia="仿宋"/>
          <w:sz w:val="32"/>
          <w:szCs w:val="32"/>
          <w:lang w:val="en-US" w:eastAsia="zh-CN"/>
        </w:rPr>
        <w:t>32.76</w:t>
      </w:r>
      <w:r>
        <w:rPr>
          <w:rFonts w:hint="eastAsia" w:ascii="仿宋" w:hAnsi="仿宋" w:eastAsia="仿宋"/>
          <w:sz w:val="32"/>
          <w:szCs w:val="32"/>
        </w:rPr>
        <w:t>%。决算数小于预算数</w:t>
      </w:r>
      <w:r>
        <w:rPr>
          <w:rFonts w:hint="eastAsia" w:ascii="仿宋" w:hAnsi="仿宋" w:eastAsia="仿宋"/>
          <w:sz w:val="32"/>
          <w:szCs w:val="32"/>
          <w:lang w:val="en-US" w:eastAsia="zh-CN"/>
        </w:rPr>
        <w:t>严格控制“三公”经费的支出</w:t>
      </w:r>
      <w:r>
        <w:rPr>
          <w:rFonts w:hint="eastAsia" w:ascii="仿宋" w:hAnsi="仿宋" w:eastAsia="仿宋"/>
          <w:sz w:val="32"/>
          <w:szCs w:val="32"/>
        </w:rPr>
        <w:t>。</w:t>
      </w:r>
    </w:p>
    <w:p w14:paraId="4D9F5A3D">
      <w:pPr>
        <w:pageBreakBefore w:val="0"/>
        <w:kinsoku/>
        <w:wordWrap/>
        <w:overflowPunct/>
        <w:topLinePunct w:val="0"/>
        <w:bidi w:val="0"/>
        <w:spacing w:line="44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14:paraId="56C1C645">
      <w:pPr>
        <w:pageBreakBefore w:val="0"/>
        <w:kinsoku/>
        <w:wordWrap/>
        <w:overflowPunct/>
        <w:topLinePunct w:val="0"/>
        <w:bidi w:val="0"/>
        <w:spacing w:line="440" w:lineRule="exact"/>
        <w:ind w:firstLine="640"/>
        <w:rPr>
          <w:rFonts w:hint="eastAsia" w:ascii="仿宋" w:hAnsi="仿宋" w:eastAsia="仿宋"/>
          <w:sz w:val="32"/>
          <w:szCs w:val="32"/>
        </w:rPr>
      </w:pPr>
      <w:r>
        <w:rPr>
          <w:rFonts w:hint="eastAsia" w:ascii="仿宋" w:hAnsi="仿宋" w:eastAsia="仿宋"/>
          <w:sz w:val="32"/>
          <w:szCs w:val="32"/>
        </w:rPr>
        <w:t>2023年度“三公”经费财政拨款支出决算中，因公出国（境）费支出决算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sz w:val="32"/>
          <w:szCs w:val="32"/>
        </w:rPr>
        <w:t>173.48</w:t>
      </w:r>
      <w:r>
        <w:rPr>
          <w:rFonts w:hint="eastAsia" w:ascii="仿宋" w:hAnsi="仿宋" w:eastAsia="仿宋"/>
          <w:sz w:val="32"/>
          <w:szCs w:val="32"/>
        </w:rPr>
        <w:t>万元，占</w:t>
      </w:r>
      <w:r>
        <w:rPr>
          <w:sz w:val="32"/>
          <w:szCs w:val="32"/>
        </w:rPr>
        <w:t>78.58</w:t>
      </w:r>
      <w:r>
        <w:rPr>
          <w:rFonts w:ascii="仿宋" w:hAnsi="仿宋" w:eastAsia="仿宋"/>
          <w:sz w:val="32"/>
          <w:szCs w:val="32"/>
        </w:rPr>
        <w:t>%</w:t>
      </w:r>
      <w:r>
        <w:rPr>
          <w:rFonts w:hint="eastAsia" w:ascii="仿宋" w:hAnsi="仿宋" w:eastAsia="仿宋"/>
          <w:sz w:val="32"/>
          <w:szCs w:val="32"/>
        </w:rPr>
        <w:t>；公务接待费支出决算</w:t>
      </w:r>
      <w:r>
        <w:rPr>
          <w:sz w:val="32"/>
          <w:szCs w:val="32"/>
        </w:rPr>
        <w:t>47.27</w:t>
      </w:r>
      <w:r>
        <w:rPr>
          <w:rFonts w:hint="eastAsia" w:ascii="仿宋" w:hAnsi="仿宋" w:eastAsia="仿宋"/>
          <w:sz w:val="32"/>
          <w:szCs w:val="32"/>
        </w:rPr>
        <w:t>万元，占</w:t>
      </w:r>
      <w:r>
        <w:rPr>
          <w:sz w:val="32"/>
          <w:szCs w:val="32"/>
        </w:rPr>
        <w:t>21.4</w:t>
      </w:r>
      <w:r>
        <w:rPr>
          <w:rFonts w:hint="eastAsia"/>
          <w:sz w:val="32"/>
          <w:szCs w:val="32"/>
          <w:lang w:val="en-US" w:eastAsia="zh-CN"/>
        </w:rPr>
        <w:t>2</w:t>
      </w:r>
      <w:r>
        <w:rPr>
          <w:rFonts w:ascii="仿宋" w:hAnsi="仿宋" w:eastAsia="仿宋"/>
          <w:sz w:val="32"/>
          <w:szCs w:val="32"/>
        </w:rPr>
        <w:t>%</w:t>
      </w:r>
      <w:r>
        <w:rPr>
          <w:rFonts w:hint="eastAsia" w:ascii="仿宋" w:hAnsi="仿宋" w:eastAsia="仿宋"/>
          <w:sz w:val="32"/>
          <w:szCs w:val="32"/>
        </w:rPr>
        <w:t>。具体情况如下：</w:t>
      </w:r>
    </w:p>
    <w:p w14:paraId="4343F835">
      <w:pPr>
        <w:pageBreakBefore w:val="0"/>
        <w:kinsoku/>
        <w:wordWrap/>
        <w:overflowPunct/>
        <w:topLinePunct w:val="0"/>
        <w:bidi w:val="0"/>
        <w:spacing w:line="440" w:lineRule="exact"/>
        <w:ind w:firstLine="640"/>
        <w:rPr>
          <w:rFonts w:hint="eastAsia" w:ascii="仿宋" w:hAnsi="仿宋" w:eastAsia="仿宋"/>
          <w:sz w:val="32"/>
          <w:szCs w:val="32"/>
        </w:rPr>
      </w:pPr>
      <w:r>
        <w:drawing>
          <wp:anchor distT="0" distB="0" distL="114300" distR="114300" simplePos="0" relativeHeight="251666432" behindDoc="0" locked="0" layoutInCell="1" allowOverlap="1">
            <wp:simplePos x="0" y="0"/>
            <wp:positionH relativeFrom="column">
              <wp:posOffset>363220</wp:posOffset>
            </wp:positionH>
            <wp:positionV relativeFrom="paragraph">
              <wp:posOffset>607695</wp:posOffset>
            </wp:positionV>
            <wp:extent cx="4921885" cy="2247900"/>
            <wp:effectExtent l="4445" t="4445" r="7620" b="14605"/>
            <wp:wrapSquare wrapText="bothSides"/>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14:paraId="61D2A20F">
      <w:pPr>
        <w:pageBreakBefore w:val="0"/>
        <w:kinsoku/>
        <w:wordWrap/>
        <w:overflowPunct/>
        <w:topLinePunct w:val="0"/>
        <w:bidi w:val="0"/>
        <w:spacing w:line="440" w:lineRule="exact"/>
        <w:ind w:firstLine="640"/>
        <w:rPr>
          <w:rFonts w:hint="eastAsia" w:ascii="仿宋" w:hAnsi="仿宋" w:eastAsia="仿宋"/>
          <w:sz w:val="32"/>
          <w:szCs w:val="32"/>
        </w:rPr>
      </w:pPr>
    </w:p>
    <w:p w14:paraId="31714477">
      <w:pPr>
        <w:pageBreakBefore w:val="0"/>
        <w:kinsoku/>
        <w:wordWrap/>
        <w:overflowPunct/>
        <w:topLinePunct w:val="0"/>
        <w:bidi w:val="0"/>
        <w:spacing w:line="440" w:lineRule="exact"/>
        <w:ind w:firstLine="2240" w:firstLineChars="700"/>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rPr>
        <w:t>图7：“三公”经费财政拨款支出结构）</w:t>
      </w:r>
    </w:p>
    <w:p w14:paraId="187CAB1A">
      <w:pPr>
        <w:pageBreakBefore w:val="0"/>
        <w:kinsoku/>
        <w:wordWrap/>
        <w:overflowPunct/>
        <w:topLinePunct w:val="0"/>
        <w:bidi w:val="0"/>
        <w:spacing w:line="440" w:lineRule="exact"/>
        <w:ind w:firstLine="640"/>
        <w:rPr>
          <w:rFonts w:hint="eastAsia" w:ascii="仿宋_GB2312" w:eastAsia="仿宋_GB2312"/>
          <w:sz w:val="32"/>
          <w:szCs w:val="32"/>
          <w:lang w:eastAsia="zh-CN"/>
        </w:rPr>
      </w:pPr>
      <w:r>
        <w:rPr>
          <w:rFonts w:ascii="仿宋_GB2312" w:eastAsia="仿宋_GB2312"/>
          <w:b/>
          <w:sz w:val="32"/>
          <w:szCs w:val="32"/>
        </w:rPr>
        <w:t>1.</w:t>
      </w:r>
      <w:r>
        <w:rPr>
          <w:rFonts w:hint="eastAsia" w:ascii="仿宋_GB2312" w:eastAsia="仿宋_GB2312"/>
          <w:b/>
          <w:sz w:val="32"/>
          <w:szCs w:val="32"/>
        </w:rPr>
        <w:t>因公出国（境）经费支出</w:t>
      </w:r>
      <w:r>
        <w:rPr>
          <w:sz w:val="32"/>
          <w:szCs w:val="32"/>
        </w:rPr>
        <w:t>0</w:t>
      </w:r>
      <w:r>
        <w:rPr>
          <w:rFonts w:hint="eastAsia" w:ascii="仿宋_GB2312" w:eastAsia="仿宋_GB2312"/>
          <w:sz w:val="32"/>
          <w:szCs w:val="32"/>
        </w:rPr>
        <w:t>万元，</w:t>
      </w:r>
      <w:r>
        <w:rPr>
          <w:rStyle w:val="20"/>
          <w:rFonts w:hint="eastAsia" w:ascii="仿宋" w:hAnsi="仿宋" w:eastAsia="仿宋"/>
          <w:b w:val="0"/>
          <w:bCs/>
          <w:sz w:val="32"/>
          <w:szCs w:val="32"/>
        </w:rPr>
        <w:t>完成预算</w:t>
      </w:r>
      <w:r>
        <w:rPr>
          <w:sz w:val="32"/>
          <w:szCs w:val="32"/>
        </w:rPr>
        <w:t>0</w:t>
      </w:r>
      <w:r>
        <w:rPr>
          <w:rStyle w:val="20"/>
          <w:rFonts w:ascii="仿宋" w:hAnsi="仿宋" w:eastAsia="仿宋"/>
          <w:b w:val="0"/>
          <w:bCs/>
          <w:sz w:val="32"/>
          <w:szCs w:val="32"/>
        </w:rPr>
        <w:t>%</w:t>
      </w:r>
      <w:r>
        <w:rPr>
          <w:rStyle w:val="20"/>
          <w:rFonts w:hint="eastAsia" w:ascii="仿宋" w:hAnsi="仿宋" w:eastAsia="仿宋"/>
          <w:b w:val="0"/>
          <w:bCs/>
          <w:sz w:val="32"/>
          <w:szCs w:val="32"/>
        </w:rPr>
        <w:t>。</w:t>
      </w:r>
      <w:r>
        <w:rPr>
          <w:rFonts w:hint="eastAsia" w:ascii="仿宋_GB2312" w:eastAsia="仿宋_GB2312"/>
          <w:sz w:val="32"/>
          <w:szCs w:val="32"/>
        </w:rPr>
        <w:t>全年安排因公出国（境）团组</w:t>
      </w:r>
      <w:r>
        <w:rPr>
          <w:sz w:val="32"/>
          <w:szCs w:val="32"/>
        </w:rPr>
        <w:t>0</w:t>
      </w:r>
      <w:r>
        <w:rPr>
          <w:rFonts w:hint="eastAsia" w:ascii="仿宋_GB2312" w:eastAsia="仿宋_GB2312"/>
          <w:sz w:val="32"/>
          <w:szCs w:val="32"/>
        </w:rPr>
        <w:t>次，出国（境）</w:t>
      </w:r>
      <w:r>
        <w:rPr>
          <w:sz w:val="32"/>
          <w:szCs w:val="32"/>
        </w:rPr>
        <w:t>0</w:t>
      </w:r>
      <w:r>
        <w:rPr>
          <w:rFonts w:hint="eastAsia" w:ascii="仿宋_GB2312" w:eastAsia="仿宋_GB2312"/>
          <w:sz w:val="32"/>
          <w:szCs w:val="32"/>
        </w:rPr>
        <w:t>人。因公出国（境）支出决算</w:t>
      </w:r>
      <w:r>
        <w:rPr>
          <w:rFonts w:hint="eastAsia" w:ascii="仿宋_GB2312" w:eastAsia="仿宋_GB2312"/>
          <w:sz w:val="32"/>
          <w:szCs w:val="32"/>
          <w:lang w:val="en-US" w:eastAsia="zh-CN"/>
        </w:rPr>
        <w:t>于</w:t>
      </w:r>
      <w:r>
        <w:rPr>
          <w:rFonts w:hint="eastAsia" w:ascii="仿宋_GB2312" w:eastAsia="仿宋_GB2312"/>
          <w:sz w:val="32"/>
          <w:szCs w:val="32"/>
        </w:rPr>
        <w:t>2022年</w:t>
      </w:r>
      <w:r>
        <w:rPr>
          <w:rFonts w:hint="eastAsia" w:ascii="仿宋_GB2312" w:eastAsia="仿宋_GB2312"/>
          <w:sz w:val="32"/>
          <w:szCs w:val="32"/>
          <w:lang w:val="en-US" w:eastAsia="zh-CN"/>
        </w:rPr>
        <w:t>持平。</w:t>
      </w:r>
    </w:p>
    <w:p w14:paraId="01F7AB59">
      <w:pPr>
        <w:pageBreakBefore w:val="0"/>
        <w:kinsoku/>
        <w:wordWrap/>
        <w:overflowPunct/>
        <w:topLinePunct w:val="0"/>
        <w:bidi w:val="0"/>
        <w:spacing w:line="44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sz w:val="32"/>
          <w:szCs w:val="32"/>
        </w:rPr>
        <w:t>173.48</w:t>
      </w:r>
      <w:r>
        <w:rPr>
          <w:rFonts w:hint="eastAsia" w:ascii="仿宋_GB2312" w:eastAsia="仿宋_GB2312"/>
          <w:sz w:val="32"/>
          <w:szCs w:val="32"/>
        </w:rPr>
        <w:t>万元,</w:t>
      </w:r>
      <w:r>
        <w:rPr>
          <w:rStyle w:val="20"/>
          <w:rFonts w:hint="eastAsia" w:ascii="仿宋" w:hAnsi="仿宋" w:eastAsia="仿宋"/>
          <w:b w:val="0"/>
          <w:bCs/>
          <w:sz w:val="32"/>
          <w:szCs w:val="32"/>
        </w:rPr>
        <w:t>完成预算</w:t>
      </w:r>
      <w:r>
        <w:rPr>
          <w:sz w:val="32"/>
          <w:szCs w:val="32"/>
        </w:rPr>
        <w:t>97.17</w:t>
      </w:r>
      <w:r>
        <w:rPr>
          <w:rStyle w:val="20"/>
          <w:rFonts w:ascii="仿宋" w:hAnsi="仿宋" w:eastAsia="仿宋"/>
          <w:b w:val="0"/>
          <w:bCs/>
          <w:sz w:val="32"/>
          <w:szCs w:val="32"/>
        </w:rPr>
        <w:t>%</w:t>
      </w:r>
      <w:r>
        <w:rPr>
          <w:rStyle w:val="20"/>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hint="eastAsia" w:ascii="仿宋_GB2312" w:eastAsia="仿宋_GB2312"/>
          <w:sz w:val="32"/>
          <w:szCs w:val="32"/>
          <w:lang w:val="en-US" w:eastAsia="zh-CN"/>
        </w:rPr>
        <w:t>75.74</w:t>
      </w:r>
      <w:r>
        <w:rPr>
          <w:rFonts w:hint="eastAsia" w:ascii="仿宋_GB2312" w:eastAsia="仿宋_GB2312"/>
          <w:sz w:val="32"/>
          <w:szCs w:val="32"/>
        </w:rPr>
        <w:t>万元，增长</w:t>
      </w:r>
      <w:r>
        <w:rPr>
          <w:rFonts w:hint="eastAsia" w:ascii="仿宋_GB2312" w:eastAsia="仿宋_GB2312"/>
          <w:sz w:val="32"/>
          <w:szCs w:val="32"/>
          <w:lang w:val="en-US" w:eastAsia="zh-CN"/>
        </w:rPr>
        <w:t>43.66</w:t>
      </w:r>
      <w:r>
        <w:rPr>
          <w:rFonts w:ascii="仿宋_GB2312" w:eastAsia="仿宋_GB2312"/>
          <w:sz w:val="32"/>
          <w:szCs w:val="32"/>
        </w:rPr>
        <w:t>%</w:t>
      </w:r>
      <w:r>
        <w:rPr>
          <w:rFonts w:hint="eastAsia" w:ascii="仿宋_GB2312" w:eastAsia="仿宋_GB2312"/>
          <w:sz w:val="32"/>
          <w:szCs w:val="32"/>
        </w:rPr>
        <w:t>。主要原因是</w:t>
      </w:r>
      <w:r>
        <w:rPr>
          <w:rFonts w:hint="default" w:ascii="仿宋_GB2312" w:hAnsi="宋体" w:eastAsia="仿宋_GB2312" w:cs="仿宋_GB2312"/>
          <w:color w:val="000000"/>
          <w:kern w:val="0"/>
          <w:sz w:val="32"/>
          <w:szCs w:val="32"/>
        </w:rPr>
        <w:t>本年度</w:t>
      </w:r>
      <w:r>
        <w:rPr>
          <w:rFonts w:hint="eastAsia" w:ascii="仿宋_GB2312" w:eastAsia="仿宋_GB2312" w:cs="仿宋_GB2312"/>
          <w:color w:val="000000"/>
          <w:kern w:val="0"/>
          <w:sz w:val="32"/>
          <w:szCs w:val="32"/>
          <w:lang w:val="en-US" w:eastAsia="zh-CN"/>
        </w:rPr>
        <w:t>购置</w:t>
      </w:r>
      <w:r>
        <w:rPr>
          <w:rFonts w:hint="default" w:ascii="仿宋_GB2312" w:hAnsi="宋体" w:eastAsia="仿宋_GB2312" w:cs="仿宋_GB2312"/>
          <w:color w:val="000000"/>
          <w:kern w:val="0"/>
          <w:sz w:val="32"/>
          <w:szCs w:val="32"/>
        </w:rPr>
        <w:t>公务用车</w:t>
      </w:r>
      <w:r>
        <w:rPr>
          <w:rFonts w:hint="eastAsia" w:ascii="仿宋_GB2312" w:eastAsia="仿宋_GB2312" w:cs="仿宋_GB2312"/>
          <w:color w:val="000000"/>
          <w:kern w:val="0"/>
          <w:sz w:val="32"/>
          <w:szCs w:val="32"/>
          <w:lang w:val="en-US" w:eastAsia="zh-CN"/>
        </w:rPr>
        <w:t>1辆</w:t>
      </w:r>
      <w:r>
        <w:rPr>
          <w:rFonts w:hint="eastAsia" w:ascii="仿宋_GB2312" w:eastAsia="仿宋_GB2312"/>
          <w:sz w:val="32"/>
          <w:szCs w:val="32"/>
        </w:rPr>
        <w:t>。</w:t>
      </w:r>
    </w:p>
    <w:p w14:paraId="482A97BE">
      <w:pPr>
        <w:pageBreakBefore w:val="0"/>
        <w:kinsoku/>
        <w:wordWrap/>
        <w:overflowPunct/>
        <w:topLinePunct w:val="0"/>
        <w:bidi w:val="0"/>
        <w:spacing w:line="440" w:lineRule="exact"/>
        <w:ind w:firstLine="640" w:firstLineChars="200"/>
        <w:rPr>
          <w:rFonts w:hint="default" w:ascii="仿宋_GB2312" w:eastAsia="仿宋_GB2312"/>
          <w:b/>
          <w:color w:val="auto"/>
          <w:sz w:val="32"/>
          <w:szCs w:val="32"/>
          <w:lang w:val="en-US" w:eastAsia="zh-CN"/>
        </w:rPr>
      </w:pPr>
      <w:r>
        <w:rPr>
          <w:rFonts w:hint="eastAsia" w:ascii="仿宋_GB2312" w:eastAsia="仿宋_GB2312"/>
          <w:sz w:val="32"/>
          <w:szCs w:val="32"/>
        </w:rPr>
        <w:t>其中：</w:t>
      </w:r>
      <w:r>
        <w:rPr>
          <w:rFonts w:hint="eastAsia" w:ascii="仿宋_GB2312" w:eastAsia="仿宋_GB2312"/>
          <w:b/>
          <w:sz w:val="32"/>
          <w:szCs w:val="32"/>
        </w:rPr>
        <w:t>公务用车购置支出</w:t>
      </w:r>
      <w:r>
        <w:rPr>
          <w:sz w:val="32"/>
          <w:szCs w:val="32"/>
        </w:rPr>
        <w:t>59.58</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1</w:t>
      </w:r>
      <w:r>
        <w:rPr>
          <w:rFonts w:hint="eastAsia" w:ascii="仿宋_GB2312" w:eastAsia="仿宋_GB2312"/>
          <w:sz w:val="32"/>
          <w:szCs w:val="32"/>
        </w:rPr>
        <w:t>辆，其中：越野车</w:t>
      </w:r>
      <w:r>
        <w:rPr>
          <w:rFonts w:hint="eastAsia" w:ascii="仿宋_GB2312" w:eastAsia="仿宋_GB2312"/>
          <w:sz w:val="32"/>
          <w:szCs w:val="32"/>
          <w:lang w:val="en-US" w:eastAsia="zh-CN"/>
        </w:rPr>
        <w:t>1</w:t>
      </w:r>
      <w:r>
        <w:rPr>
          <w:rFonts w:hint="eastAsia" w:ascii="仿宋_GB2312" w:eastAsia="仿宋_GB2312"/>
          <w:sz w:val="32"/>
          <w:szCs w:val="32"/>
        </w:rPr>
        <w:t>辆、金额</w:t>
      </w:r>
      <w:r>
        <w:rPr>
          <w:rFonts w:hint="eastAsia" w:ascii="仿宋_GB2312" w:eastAsia="仿宋_GB2312"/>
          <w:sz w:val="32"/>
          <w:szCs w:val="32"/>
          <w:lang w:val="en-US" w:eastAsia="zh-CN"/>
        </w:rPr>
        <w:t>59.58</w:t>
      </w:r>
      <w:r>
        <w:rPr>
          <w:rFonts w:hint="eastAsia" w:ascii="仿宋_GB2312" w:eastAsia="仿宋_GB2312"/>
          <w:sz w:val="32"/>
          <w:szCs w:val="32"/>
        </w:rPr>
        <w:t>万元</w:t>
      </w:r>
      <w:r>
        <w:rPr>
          <w:rFonts w:hint="eastAsia" w:ascii="仿宋_GB2312" w:eastAsia="仿宋_GB2312"/>
          <w:color w:val="auto"/>
          <w:sz w:val="32"/>
          <w:szCs w:val="32"/>
        </w:rPr>
        <w:t>，主要用于</w:t>
      </w:r>
      <w:r>
        <w:rPr>
          <w:rFonts w:hint="eastAsia" w:ascii="仿宋_GB2312" w:eastAsia="仿宋_GB2312"/>
          <w:color w:val="auto"/>
          <w:sz w:val="32"/>
          <w:szCs w:val="32"/>
          <w:lang w:val="en-US" w:eastAsia="zh-CN"/>
        </w:rPr>
        <w:t>执行公务活动、开展活动等所需的公务用车</w:t>
      </w:r>
      <w:r>
        <w:rPr>
          <w:rFonts w:hint="eastAsia" w:ascii="仿宋_GB2312" w:eastAsia="仿宋_GB2312"/>
          <w:color w:val="auto"/>
          <w:sz w:val="32"/>
          <w:szCs w:val="32"/>
        </w:rPr>
        <w:t>。截</w:t>
      </w:r>
      <w:r>
        <w:rPr>
          <w:rFonts w:hint="eastAsia" w:ascii="仿宋_GB2312" w:eastAsia="仿宋_GB2312"/>
          <w:sz w:val="32"/>
          <w:szCs w:val="32"/>
        </w:rPr>
        <w:t>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19</w:t>
      </w:r>
      <w:r>
        <w:rPr>
          <w:rFonts w:hint="eastAsia" w:ascii="仿宋_GB2312" w:eastAsia="仿宋_GB2312"/>
          <w:sz w:val="32"/>
          <w:szCs w:val="32"/>
        </w:rPr>
        <w:t>辆，其中：</w:t>
      </w:r>
      <w:r>
        <w:rPr>
          <w:rFonts w:hint="eastAsia" w:ascii="仿宋_GB2312" w:eastAsia="仿宋_GB2312"/>
          <w:color w:val="auto"/>
          <w:sz w:val="32"/>
          <w:szCs w:val="32"/>
        </w:rPr>
        <w:t>越野车</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辆、</w:t>
      </w:r>
      <w:r>
        <w:rPr>
          <w:rFonts w:hint="eastAsia" w:ascii="仿宋_GB2312" w:eastAsia="仿宋_GB2312"/>
          <w:color w:val="auto"/>
          <w:sz w:val="32"/>
          <w:szCs w:val="32"/>
          <w:lang w:val="en-US" w:eastAsia="zh-CN"/>
        </w:rPr>
        <w:t>其他车辆14辆。</w:t>
      </w:r>
    </w:p>
    <w:p w14:paraId="61778D61">
      <w:pPr>
        <w:pageBreakBefore w:val="0"/>
        <w:kinsoku/>
        <w:wordWrap/>
        <w:overflowPunct/>
        <w:topLinePunct w:val="0"/>
        <w:bidi w:val="0"/>
        <w:spacing w:line="44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sz w:val="32"/>
          <w:szCs w:val="32"/>
        </w:rPr>
        <w:t>113.9</w:t>
      </w:r>
      <w:r>
        <w:rPr>
          <w:rFonts w:hint="eastAsia" w:ascii="仿宋_GB2312" w:eastAsia="仿宋_GB2312"/>
          <w:sz w:val="32"/>
          <w:szCs w:val="32"/>
        </w:rPr>
        <w:t>万元。主要用于</w:t>
      </w:r>
      <w:r>
        <w:rPr>
          <w:rFonts w:hint="eastAsia" w:ascii="仿宋_GB2312" w:eastAsia="仿宋_GB2312"/>
          <w:sz w:val="32"/>
          <w:szCs w:val="32"/>
          <w:lang w:val="en-US" w:eastAsia="zh-CN"/>
        </w:rPr>
        <w:t>管理局在执行公务活动、开展业务活动等</w:t>
      </w:r>
      <w:r>
        <w:rPr>
          <w:rFonts w:hint="eastAsia" w:ascii="仿宋_GB2312" w:eastAsia="仿宋_GB2312"/>
          <w:sz w:val="32"/>
          <w:szCs w:val="32"/>
        </w:rPr>
        <w:t>所需的公务用车燃料费、维修费、过路过桥费、保险费等支出。</w:t>
      </w:r>
    </w:p>
    <w:p w14:paraId="09C61A35">
      <w:pPr>
        <w:pageBreakBefore w:val="0"/>
        <w:kinsoku/>
        <w:wordWrap/>
        <w:overflowPunct/>
        <w:topLinePunct w:val="0"/>
        <w:bidi w:val="0"/>
        <w:spacing w:line="44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sz w:val="32"/>
          <w:szCs w:val="32"/>
        </w:rPr>
        <w:t>47.27</w:t>
      </w:r>
      <w:r>
        <w:rPr>
          <w:rFonts w:hint="eastAsia" w:ascii="仿宋_GB2312" w:eastAsia="仿宋_GB2312"/>
          <w:sz w:val="32"/>
          <w:szCs w:val="32"/>
        </w:rPr>
        <w:t>万元，</w:t>
      </w:r>
      <w:r>
        <w:rPr>
          <w:rStyle w:val="20"/>
          <w:rFonts w:hint="eastAsia" w:ascii="仿宋" w:hAnsi="仿宋" w:eastAsia="仿宋"/>
          <w:b w:val="0"/>
          <w:bCs/>
          <w:sz w:val="32"/>
          <w:szCs w:val="32"/>
        </w:rPr>
        <w:t>完成预算</w:t>
      </w:r>
      <w:r>
        <w:rPr>
          <w:sz w:val="32"/>
          <w:szCs w:val="32"/>
        </w:rPr>
        <w:t>95.42%</w:t>
      </w:r>
      <w:r>
        <w:rPr>
          <w:rStyle w:val="20"/>
          <w:rFonts w:hint="eastAsia" w:ascii="仿宋" w:hAnsi="仿宋" w:eastAsia="仿宋"/>
          <w:b w:val="0"/>
          <w:bCs/>
          <w:sz w:val="32"/>
          <w:szCs w:val="32"/>
        </w:rPr>
        <w:t>。</w:t>
      </w:r>
      <w:r>
        <w:rPr>
          <w:rFonts w:hint="eastAsia" w:ascii="仿宋_GB2312" w:eastAsia="仿宋_GB2312"/>
          <w:sz w:val="32"/>
          <w:szCs w:val="32"/>
        </w:rPr>
        <w:t>公务接待费支出决算比2022年度减少</w:t>
      </w:r>
      <w:r>
        <w:rPr>
          <w:rFonts w:hint="eastAsia" w:ascii="仿宋_GB2312" w:eastAsia="仿宋_GB2312"/>
          <w:sz w:val="32"/>
          <w:szCs w:val="32"/>
          <w:lang w:val="en-US" w:eastAsia="zh-CN"/>
        </w:rPr>
        <w:t>3.41</w:t>
      </w:r>
      <w:r>
        <w:rPr>
          <w:rFonts w:hint="eastAsia" w:ascii="仿宋_GB2312" w:eastAsia="仿宋_GB2312"/>
          <w:sz w:val="32"/>
          <w:szCs w:val="32"/>
        </w:rPr>
        <w:t>万元，下降</w:t>
      </w:r>
      <w:r>
        <w:rPr>
          <w:rFonts w:hint="eastAsia" w:ascii="仿宋_GB2312" w:eastAsia="仿宋_GB2312"/>
          <w:sz w:val="32"/>
          <w:szCs w:val="32"/>
          <w:lang w:val="en-US" w:eastAsia="zh-CN"/>
        </w:rPr>
        <w:t>7.21</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cs="仿宋_GB2312"/>
          <w:color w:val="000000"/>
          <w:kern w:val="0"/>
          <w:sz w:val="32"/>
          <w:szCs w:val="32"/>
          <w:lang w:val="en-US" w:eastAsia="zh-CN"/>
        </w:rPr>
        <w:t>本年度严格控制“三公”经费的支出</w:t>
      </w:r>
      <w:r>
        <w:rPr>
          <w:rFonts w:hint="eastAsia" w:ascii="仿宋_GB2312" w:eastAsia="仿宋_GB2312"/>
          <w:sz w:val="32"/>
          <w:szCs w:val="32"/>
        </w:rPr>
        <w:t>。其中：</w:t>
      </w:r>
    </w:p>
    <w:p w14:paraId="33489825">
      <w:pPr>
        <w:pageBreakBefore w:val="0"/>
        <w:kinsoku/>
        <w:wordWrap/>
        <w:overflowPunct/>
        <w:topLinePunct w:val="0"/>
        <w:bidi w:val="0"/>
        <w:spacing w:line="44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47.27</w:t>
      </w:r>
      <w:r>
        <w:rPr>
          <w:rFonts w:hint="eastAsia" w:ascii="仿宋_GB2312" w:eastAsia="仿宋_GB2312"/>
          <w:sz w:val="32"/>
          <w:szCs w:val="32"/>
        </w:rPr>
        <w:t>万元，主要用于</w:t>
      </w:r>
      <w:r>
        <w:rPr>
          <w:rFonts w:hint="eastAsia" w:ascii="仿宋_GB2312" w:eastAsia="仿宋_GB2312"/>
          <w:sz w:val="32"/>
          <w:szCs w:val="32"/>
          <w:lang w:val="en-US" w:eastAsia="zh-CN"/>
        </w:rPr>
        <w:t>与相关单位交流工作、开展业务合作、开展活动等情况及</w:t>
      </w:r>
      <w:r>
        <w:rPr>
          <w:rFonts w:hint="eastAsia" w:ascii="仿宋_GB2312" w:hAnsi="仿宋_GB2312" w:eastAsia="仿宋_GB2312" w:cs="仿宋_GB2312"/>
          <w:color w:val="000000"/>
          <w:kern w:val="0"/>
          <w:sz w:val="31"/>
          <w:szCs w:val="31"/>
          <w:lang w:val="en-US" w:eastAsia="zh-CN" w:bidi="ar"/>
        </w:rPr>
        <w:t>接收相关部门检查指导工作发生的用餐费、住宿费等接待支出</w:t>
      </w:r>
      <w:r>
        <w:rPr>
          <w:rFonts w:hint="eastAsia" w:ascii="仿宋_GB2312" w:eastAsia="仿宋_GB2312"/>
          <w:sz w:val="32"/>
          <w:szCs w:val="32"/>
        </w:rPr>
        <w:t>。国内公务接待</w:t>
      </w:r>
      <w:r>
        <w:rPr>
          <w:rFonts w:hint="eastAsia" w:ascii="仿宋_GB2312" w:eastAsia="仿宋_GB2312"/>
          <w:sz w:val="32"/>
          <w:szCs w:val="32"/>
          <w:lang w:val="en-US" w:eastAsia="zh-CN"/>
        </w:rPr>
        <w:t>152</w:t>
      </w:r>
      <w:r>
        <w:rPr>
          <w:rFonts w:hint="eastAsia" w:ascii="仿宋_GB2312" w:eastAsia="仿宋_GB2312"/>
          <w:sz w:val="32"/>
          <w:szCs w:val="32"/>
        </w:rPr>
        <w:t>批次，</w:t>
      </w:r>
      <w:r>
        <w:rPr>
          <w:rFonts w:hint="eastAsia" w:ascii="仿宋_GB2312" w:eastAsia="仿宋_GB2312"/>
          <w:sz w:val="32"/>
          <w:szCs w:val="32"/>
          <w:lang w:val="en-US" w:eastAsia="zh-CN"/>
        </w:rPr>
        <w:t>3094</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47.27</w:t>
      </w:r>
      <w:r>
        <w:rPr>
          <w:rFonts w:hint="eastAsia" w:ascii="仿宋_GB2312" w:eastAsia="仿宋_GB2312"/>
          <w:sz w:val="32"/>
          <w:szCs w:val="32"/>
        </w:rPr>
        <w:t>万元。</w:t>
      </w:r>
    </w:p>
    <w:p w14:paraId="7091FFB5">
      <w:pPr>
        <w:pageBreakBefore w:val="0"/>
        <w:kinsoku/>
        <w:wordWrap/>
        <w:overflowPunct/>
        <w:topLinePunct w:val="0"/>
        <w:bidi w:val="0"/>
        <w:spacing w:line="440" w:lineRule="exact"/>
        <w:ind w:firstLine="643" w:firstLineChars="200"/>
        <w:rPr>
          <w:rFonts w:ascii="黑体" w:eastAsia="黑体"/>
          <w:sz w:val="32"/>
          <w:szCs w:val="32"/>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bookmarkStart w:id="40" w:name="_Toc15377218"/>
      <w:bookmarkStart w:id="41" w:name="_Toc15396610"/>
    </w:p>
    <w:p w14:paraId="09DF43D3">
      <w:pPr>
        <w:pageBreakBefore w:val="0"/>
        <w:kinsoku/>
        <w:wordWrap/>
        <w:overflowPunct/>
        <w:topLinePunct w:val="0"/>
        <w:bidi w:val="0"/>
        <w:spacing w:line="440" w:lineRule="exact"/>
        <w:ind w:firstLine="640"/>
        <w:outlineLvl w:val="1"/>
        <w:rPr>
          <w:rStyle w:val="32"/>
          <w:rFonts w:ascii="黑体" w:hAnsi="黑体" w:eastAsia="黑体"/>
        </w:rPr>
      </w:pPr>
      <w:r>
        <w:rPr>
          <w:rFonts w:hint="eastAsia" w:ascii="黑体" w:eastAsia="黑体"/>
          <w:sz w:val="32"/>
          <w:szCs w:val="32"/>
        </w:rPr>
        <w:t>八、</w:t>
      </w:r>
      <w:r>
        <w:rPr>
          <w:rStyle w:val="32"/>
          <w:rFonts w:hint="eastAsia" w:ascii="黑体" w:hAnsi="黑体" w:eastAsia="黑体"/>
          <w:b w:val="0"/>
        </w:rPr>
        <w:t>政府性基金预算支出决算情况说明</w:t>
      </w:r>
      <w:bookmarkEnd w:id="40"/>
      <w:bookmarkEnd w:id="41"/>
    </w:p>
    <w:p w14:paraId="10A0113B">
      <w:pPr>
        <w:pageBreakBefore w:val="0"/>
        <w:kinsoku/>
        <w:wordWrap/>
        <w:overflowPunct/>
        <w:topLinePunct w:val="0"/>
        <w:bidi w:val="0"/>
        <w:spacing w:line="44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0</w:t>
      </w:r>
      <w:r>
        <w:rPr>
          <w:rFonts w:hint="eastAsia" w:ascii="仿宋_GB2312" w:eastAsia="仿宋_GB2312"/>
          <w:sz w:val="32"/>
          <w:szCs w:val="32"/>
        </w:rPr>
        <w:t>万元。</w:t>
      </w:r>
    </w:p>
    <w:p w14:paraId="0A400FCE">
      <w:pPr>
        <w:pageBreakBefore w:val="0"/>
        <w:numPr>
          <w:ilvl w:val="0"/>
          <w:numId w:val="3"/>
        </w:numPr>
        <w:kinsoku/>
        <w:wordWrap/>
        <w:overflowPunct/>
        <w:topLinePunct w:val="0"/>
        <w:bidi w:val="0"/>
        <w:spacing w:line="440" w:lineRule="exact"/>
        <w:ind w:firstLine="640"/>
        <w:outlineLvl w:val="1"/>
        <w:rPr>
          <w:rStyle w:val="32"/>
          <w:rFonts w:ascii="黑体" w:hAnsi="黑体" w:eastAsia="黑体"/>
          <w:b w:val="0"/>
        </w:rPr>
      </w:pPr>
      <w:bookmarkStart w:id="42" w:name="_Toc15377219"/>
      <w:bookmarkStart w:id="43" w:name="_Toc15396611"/>
      <w:r>
        <w:rPr>
          <w:rStyle w:val="32"/>
          <w:rFonts w:hint="eastAsia" w:ascii="黑体" w:hAnsi="黑体" w:eastAsia="黑体"/>
          <w:b w:val="0"/>
        </w:rPr>
        <w:t>国有资本经营预算支出决算情况说明</w:t>
      </w:r>
      <w:bookmarkEnd w:id="42"/>
      <w:bookmarkEnd w:id="43"/>
    </w:p>
    <w:p w14:paraId="2D649BB5">
      <w:pPr>
        <w:pageBreakBefore w:val="0"/>
        <w:kinsoku/>
        <w:wordWrap/>
        <w:overflowPunct/>
        <w:topLinePunct w:val="0"/>
        <w:bidi w:val="0"/>
        <w:spacing w:line="44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14:paraId="7DF40E3E">
      <w:pPr>
        <w:pageBreakBefore w:val="0"/>
        <w:numPr>
          <w:ilvl w:val="0"/>
          <w:numId w:val="3"/>
        </w:numPr>
        <w:kinsoku/>
        <w:wordWrap/>
        <w:overflowPunct/>
        <w:topLinePunct w:val="0"/>
        <w:bidi w:val="0"/>
        <w:spacing w:line="440" w:lineRule="exact"/>
        <w:ind w:firstLine="640"/>
        <w:outlineLvl w:val="1"/>
        <w:rPr>
          <w:rStyle w:val="32"/>
          <w:rFonts w:ascii="黑体" w:hAnsi="黑体" w:eastAsia="黑体"/>
          <w:b w:val="0"/>
        </w:rPr>
      </w:pPr>
      <w:bookmarkStart w:id="44" w:name="_Toc15396612"/>
      <w:bookmarkStart w:id="45" w:name="_Toc15377221"/>
      <w:r>
        <w:rPr>
          <w:rStyle w:val="32"/>
          <w:rFonts w:hint="eastAsia" w:ascii="黑体" w:hAnsi="黑体" w:eastAsia="黑体"/>
          <w:b w:val="0"/>
        </w:rPr>
        <w:t>其他重要事项的情况说明</w:t>
      </w:r>
      <w:bookmarkEnd w:id="44"/>
      <w:bookmarkEnd w:id="45"/>
    </w:p>
    <w:p w14:paraId="4815543C">
      <w:pPr>
        <w:pageBreakBefore w:val="0"/>
        <w:kinsoku/>
        <w:wordWrap/>
        <w:overflowPunct/>
        <w:topLinePunct w:val="0"/>
        <w:bidi w:val="0"/>
        <w:spacing w:line="44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14:paraId="555086E3">
      <w:pPr>
        <w:pageBreakBefore w:val="0"/>
        <w:kinsoku/>
        <w:wordWrap/>
        <w:overflowPunct/>
        <w:topLinePunct w:val="0"/>
        <w:bidi w:val="0"/>
        <w:spacing w:line="440" w:lineRule="exact"/>
        <w:ind w:firstLine="640"/>
        <w:rPr>
          <w:rFonts w:hint="eastAsia" w:ascii="仿宋_GB2312" w:eastAsia="仿宋_GB2312"/>
          <w:sz w:val="32"/>
          <w:szCs w:val="32"/>
        </w:rPr>
      </w:pPr>
      <w:r>
        <w:rPr>
          <w:rFonts w:hint="eastAsia" w:ascii="仿宋_GB2312" w:eastAsia="仿宋_GB2312"/>
          <w:sz w:val="32"/>
          <w:szCs w:val="32"/>
        </w:rPr>
        <w:t>2023年度，四川省阿坝州达古冰川风景名胜区管理局机关运行经费支出0万元，比2022年度</w:t>
      </w:r>
      <w:r>
        <w:rPr>
          <w:rFonts w:hint="eastAsia" w:ascii="仿宋_GB2312" w:eastAsia="仿宋_GB2312"/>
          <w:sz w:val="32"/>
          <w:szCs w:val="32"/>
          <w:lang w:val="en-US" w:eastAsia="zh-CN"/>
        </w:rPr>
        <w:t>持平</w:t>
      </w:r>
      <w:r>
        <w:rPr>
          <w:rFonts w:hint="eastAsia" w:ascii="仿宋_GB2312" w:eastAsia="仿宋_GB2312"/>
          <w:sz w:val="32"/>
          <w:szCs w:val="32"/>
        </w:rPr>
        <w:t>。主要原因是</w:t>
      </w:r>
      <w:r>
        <w:rPr>
          <w:rFonts w:hint="eastAsia" w:ascii="仿宋_GB2312" w:eastAsia="仿宋_GB2312"/>
          <w:sz w:val="32"/>
          <w:szCs w:val="32"/>
          <w:lang w:val="en-US" w:eastAsia="zh-CN"/>
        </w:rPr>
        <w:t>我局无行政单位和参照公务员法管理事业单位</w:t>
      </w:r>
      <w:r>
        <w:rPr>
          <w:rFonts w:hint="eastAsia" w:ascii="仿宋_GB2312" w:eastAsia="仿宋_GB2312"/>
          <w:sz w:val="32"/>
          <w:szCs w:val="32"/>
        </w:rPr>
        <w:t>。</w:t>
      </w:r>
    </w:p>
    <w:p w14:paraId="79F39690">
      <w:pPr>
        <w:pageBreakBefore w:val="0"/>
        <w:kinsoku/>
        <w:wordWrap/>
        <w:overflowPunct/>
        <w:topLinePunct w:val="0"/>
        <w:autoSpaceDE w:val="0"/>
        <w:autoSpaceDN w:val="0"/>
        <w:bidi w:val="0"/>
        <w:adjustRightInd w:val="0"/>
        <w:spacing w:line="44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14:paraId="224A58BC">
      <w:pPr>
        <w:pageBreakBefore w:val="0"/>
        <w:kinsoku/>
        <w:wordWrap/>
        <w:overflowPunct/>
        <w:topLinePunct w:val="0"/>
        <w:bidi w:val="0"/>
        <w:spacing w:line="440" w:lineRule="exact"/>
        <w:ind w:firstLine="640" w:firstLineChars="200"/>
        <w:rPr>
          <w:rFonts w:ascii="仿宋_GB2312" w:eastAsia="仿宋_GB2312"/>
          <w:sz w:val="32"/>
          <w:szCs w:val="32"/>
        </w:rPr>
      </w:pPr>
      <w:r>
        <w:rPr>
          <w:rFonts w:hint="eastAsia" w:ascii="仿宋_GB2312" w:eastAsia="仿宋_GB2312"/>
          <w:sz w:val="32"/>
          <w:szCs w:val="32"/>
        </w:rPr>
        <w:t>2023年度，四川省阿坝州达古冰川风景名胜区管理局政府采购支出总额310.47万元，其中：政府采购货物支出79.2万元、政府采购工程支出</w:t>
      </w:r>
      <w:r>
        <w:rPr>
          <w:sz w:val="32"/>
          <w:szCs w:val="32"/>
        </w:rPr>
        <w:t>0</w:t>
      </w:r>
      <w:r>
        <w:rPr>
          <w:rFonts w:hint="eastAsia" w:ascii="仿宋_GB2312" w:eastAsia="仿宋_GB2312"/>
          <w:sz w:val="32"/>
          <w:szCs w:val="32"/>
        </w:rPr>
        <w:t>万元、政府采购服务支出</w:t>
      </w:r>
      <w:r>
        <w:rPr>
          <w:sz w:val="32"/>
          <w:szCs w:val="32"/>
        </w:rPr>
        <w:t>231.27</w:t>
      </w:r>
      <w:r>
        <w:rPr>
          <w:rFonts w:hint="eastAsia" w:ascii="仿宋_GB2312" w:eastAsia="仿宋_GB2312"/>
          <w:sz w:val="32"/>
          <w:szCs w:val="32"/>
        </w:rPr>
        <w:t>万元。主要用于</w:t>
      </w:r>
      <w:r>
        <w:rPr>
          <w:rFonts w:hint="eastAsia" w:ascii="仿宋_GB2312" w:eastAsia="仿宋_GB2312"/>
          <w:sz w:val="32"/>
          <w:szCs w:val="32"/>
          <w:lang w:val="en-US" w:eastAsia="zh-CN"/>
        </w:rPr>
        <w:t>2023年黑水.环达古冰川自行车嘉年华活动、2023年度全员“生态保护与景区旅游服务管理”专题培训、景区旅游策划、办公设备采</w:t>
      </w:r>
      <w:r>
        <w:rPr>
          <w:rFonts w:hint="eastAsia" w:ascii="仿宋_GB2312" w:eastAsia="仿宋_GB2312"/>
          <w:color w:val="auto"/>
          <w:sz w:val="32"/>
          <w:szCs w:val="32"/>
          <w:lang w:val="en-US" w:eastAsia="zh-CN"/>
        </w:rPr>
        <w:t>购等</w:t>
      </w:r>
      <w:r>
        <w:rPr>
          <w:rFonts w:hint="eastAsia" w:ascii="仿宋_GB2312" w:eastAsia="仿宋_GB2312"/>
          <w:color w:val="auto"/>
          <w:sz w:val="32"/>
          <w:szCs w:val="32"/>
        </w:rPr>
        <w:t>。授予中小企业合同金额</w:t>
      </w:r>
      <w:r>
        <w:rPr>
          <w:rFonts w:hint="eastAsia" w:eastAsia="仿宋_GB2312"/>
          <w:color w:val="auto"/>
          <w:sz w:val="32"/>
          <w:szCs w:val="32"/>
          <w:lang w:val="en-US" w:eastAsia="zh-CN"/>
        </w:rPr>
        <w:t>310.47</w:t>
      </w:r>
      <w:r>
        <w:rPr>
          <w:rFonts w:hint="eastAsia" w:ascii="仿宋_GB2312" w:eastAsia="仿宋_GB2312"/>
          <w:color w:val="auto"/>
          <w:sz w:val="32"/>
          <w:szCs w:val="32"/>
        </w:rPr>
        <w:t>万元，占政府采购支出总额的</w:t>
      </w:r>
      <w:r>
        <w:rPr>
          <w:rFonts w:hint="eastAsia" w:eastAsia="仿宋_GB2312"/>
          <w:color w:val="auto"/>
          <w:sz w:val="32"/>
          <w:szCs w:val="32"/>
          <w:lang w:val="en-US" w:eastAsia="zh-CN"/>
        </w:rPr>
        <w:t>100</w:t>
      </w:r>
      <w:r>
        <w:rPr>
          <w:rFonts w:ascii="仿宋_GB2312" w:eastAsia="仿宋_GB2312"/>
          <w:color w:val="auto"/>
          <w:sz w:val="32"/>
          <w:szCs w:val="32"/>
        </w:rPr>
        <w:t>%</w:t>
      </w:r>
      <w:r>
        <w:rPr>
          <w:rFonts w:hint="eastAsia" w:ascii="仿宋_GB2312" w:eastAsia="仿宋_GB2312"/>
          <w:color w:val="auto"/>
          <w:sz w:val="32"/>
          <w:szCs w:val="32"/>
        </w:rPr>
        <w:t>，其中：授予小微企业合同金额</w:t>
      </w:r>
      <w:r>
        <w:rPr>
          <w:rFonts w:hint="eastAsia" w:eastAsia="仿宋_GB2312"/>
          <w:color w:val="auto"/>
          <w:sz w:val="32"/>
          <w:szCs w:val="32"/>
          <w:lang w:val="en-US" w:eastAsia="zh-CN"/>
        </w:rPr>
        <w:t>0</w:t>
      </w:r>
      <w:r>
        <w:rPr>
          <w:rFonts w:hint="eastAsia" w:ascii="仿宋_GB2312" w:eastAsia="仿宋_GB2312"/>
          <w:color w:val="auto"/>
          <w:sz w:val="32"/>
          <w:szCs w:val="32"/>
        </w:rPr>
        <w:t>万元，占政府采购支出总额的</w:t>
      </w:r>
      <w:r>
        <w:rPr>
          <w:rFonts w:hint="eastAsia" w:eastAsia="仿宋_GB2312"/>
          <w:color w:val="auto"/>
          <w:sz w:val="32"/>
          <w:szCs w:val="32"/>
          <w:lang w:val="en-US" w:eastAsia="zh-CN"/>
        </w:rPr>
        <w:t>0</w:t>
      </w:r>
      <w:r>
        <w:rPr>
          <w:rFonts w:ascii="仿宋_GB2312" w:eastAsia="仿宋_GB2312"/>
          <w:color w:val="auto"/>
          <w:sz w:val="32"/>
          <w:szCs w:val="32"/>
        </w:rPr>
        <w:t>%</w:t>
      </w:r>
      <w:r>
        <w:rPr>
          <w:rFonts w:hint="eastAsia" w:ascii="仿宋_GB2312" w:eastAsia="仿宋_GB2312"/>
          <w:color w:val="auto"/>
          <w:sz w:val="32"/>
          <w:szCs w:val="32"/>
        </w:rPr>
        <w:t>。</w:t>
      </w:r>
    </w:p>
    <w:p w14:paraId="7AB9040A">
      <w:pPr>
        <w:pageBreakBefore w:val="0"/>
        <w:kinsoku/>
        <w:wordWrap/>
        <w:overflowPunct/>
        <w:topLinePunct w:val="0"/>
        <w:autoSpaceDE w:val="0"/>
        <w:autoSpaceDN w:val="0"/>
        <w:bidi w:val="0"/>
        <w:adjustRightInd w:val="0"/>
        <w:spacing w:line="44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14:paraId="5D40B35B">
      <w:pPr>
        <w:pageBreakBefore w:val="0"/>
        <w:kinsoku/>
        <w:wordWrap/>
        <w:overflowPunct/>
        <w:topLinePunct w:val="0"/>
        <w:autoSpaceDE w:val="0"/>
        <w:autoSpaceDN w:val="0"/>
        <w:bidi w:val="0"/>
        <w:adjustRightInd w:val="0"/>
        <w:spacing w:line="440" w:lineRule="exact"/>
        <w:ind w:firstLine="640" w:firstLineChars="200"/>
        <w:jc w:val="left"/>
        <w:rPr>
          <w:rFonts w:ascii="仿宋_GB2312" w:eastAsia="仿宋_GB2312"/>
          <w:sz w:val="32"/>
          <w:szCs w:val="32"/>
        </w:rPr>
      </w:pPr>
      <w:r>
        <w:rPr>
          <w:rFonts w:hint="eastAsia" w:ascii="仿宋_GB2312" w:eastAsia="仿宋_GB2312"/>
          <w:sz w:val="32"/>
          <w:szCs w:val="32"/>
        </w:rPr>
        <w:t>截至2023年12月31日，四川省阿坝州达古冰川风景名胜区管理局共有车辆19辆，其中：其他用车</w:t>
      </w:r>
      <w:r>
        <w:rPr>
          <w:rFonts w:hint="eastAsia" w:ascii="仿宋_GB2312" w:eastAsia="仿宋_GB2312"/>
          <w:sz w:val="32"/>
          <w:szCs w:val="32"/>
          <w:lang w:val="en-US" w:eastAsia="zh-CN"/>
        </w:rPr>
        <w:t>19</w:t>
      </w:r>
      <w:r>
        <w:rPr>
          <w:rFonts w:hint="eastAsia" w:ascii="仿宋_GB2312" w:eastAsia="仿宋_GB2312"/>
          <w:sz w:val="32"/>
          <w:szCs w:val="32"/>
        </w:rPr>
        <w:t>辆，其他用车主要是用于</w:t>
      </w:r>
      <w:r>
        <w:rPr>
          <w:rFonts w:hint="eastAsia" w:ascii="仿宋_GB2312" w:eastAsia="仿宋_GB2312"/>
          <w:color w:val="auto"/>
          <w:sz w:val="32"/>
          <w:szCs w:val="32"/>
          <w:highlight w:val="none"/>
          <w:lang w:val="en-US" w:eastAsia="zh-CN"/>
        </w:rPr>
        <w:t>管理局执行公务活动、开展业务活动</w:t>
      </w:r>
      <w:r>
        <w:rPr>
          <w:rFonts w:hint="eastAsia" w:ascii="仿宋_GB2312" w:eastAsia="仿宋_GB2312"/>
          <w:color w:val="auto"/>
          <w:sz w:val="32"/>
          <w:szCs w:val="32"/>
          <w:highlight w:val="none"/>
          <w:lang w:eastAsia="zh-CN"/>
        </w:rPr>
        <w:t>。</w:t>
      </w:r>
      <w:r>
        <w:rPr>
          <w:rFonts w:hint="eastAsia" w:ascii="仿宋_GB2312" w:eastAsia="仿宋_GB2312"/>
          <w:sz w:val="32"/>
          <w:szCs w:val="32"/>
        </w:rPr>
        <w:t>单价100万元以上设备（不含车辆）0台（套）。</w:t>
      </w:r>
    </w:p>
    <w:p w14:paraId="25FF351C">
      <w:pPr>
        <w:pageBreakBefore w:val="0"/>
        <w:kinsoku/>
        <w:wordWrap/>
        <w:overflowPunct/>
        <w:topLinePunct w:val="0"/>
        <w:autoSpaceDE w:val="0"/>
        <w:autoSpaceDN w:val="0"/>
        <w:bidi w:val="0"/>
        <w:adjustRightInd w:val="0"/>
        <w:spacing w:line="44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6D7F6CB1">
      <w:pPr>
        <w:pageBreakBefore w:val="0"/>
        <w:kinsoku/>
        <w:wordWrap/>
        <w:overflowPunct/>
        <w:topLinePunct w:val="0"/>
        <w:bidi w:val="0"/>
        <w:spacing w:line="4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根据预算绩效管理要求，本部门在2023年度预算编制阶段，组织对</w:t>
      </w:r>
      <w:r>
        <w:rPr>
          <w:rFonts w:hint="eastAsia" w:ascii="仿宋_GB2312" w:hAnsi="仿宋_GB2312" w:eastAsia="仿宋_GB2312" w:cs="仿宋_GB2312"/>
          <w:sz w:val="32"/>
          <w:szCs w:val="32"/>
          <w:lang w:val="en-US" w:eastAsia="zh-CN"/>
        </w:rPr>
        <w:t>数字化指挥平台租赁费支出、劳务经费、护林防火管护费、景区绿化项目</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个项目开展绩效监控。组织对2023年度一般公共预算、政府性基金预算、国有资本经营预算、社会保险基金预算以及资本资产、债券资金等全面开展绩效自评，形成</w:t>
      </w: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部门整体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含部门预算项目）绩效自评报告、</w:t>
      </w:r>
      <w:r>
        <w:rPr>
          <w:rFonts w:hint="eastAsia" w:ascii="仿宋_GB2312" w:hAnsi="仿宋_GB2312" w:eastAsia="仿宋_GB2312" w:cs="仿宋_GB2312"/>
          <w:sz w:val="32"/>
          <w:szCs w:val="32"/>
          <w:lang w:val="en-US" w:eastAsia="zh-CN"/>
        </w:rPr>
        <w:t>2022年度科技成果转化项目、2022年第一批省级科技计划项目</w:t>
      </w:r>
      <w:r>
        <w:rPr>
          <w:rFonts w:hint="eastAsia" w:ascii="仿宋_GB2312" w:hAnsi="仿宋_GB2312" w:eastAsia="仿宋_GB2312" w:cs="仿宋_GB2312"/>
          <w:sz w:val="32"/>
          <w:szCs w:val="32"/>
        </w:rPr>
        <w:t>等专项预算项目绩效自评报告</w:t>
      </w:r>
      <w:r>
        <w:rPr>
          <w:rFonts w:hint="eastAsia" w:ascii="仿宋_GB2312" w:hAnsi="仿宋_GB2312" w:eastAsia="仿宋_GB2312" w:cs="仿宋_GB2312"/>
          <w:sz w:val="32"/>
          <w:szCs w:val="32"/>
          <w:lang w:eastAsia="zh-CN"/>
        </w:rPr>
        <w:t>。</w:t>
      </w:r>
    </w:p>
    <w:p w14:paraId="4AFD8EFE">
      <w:pPr>
        <w:pageBreakBefore w:val="0"/>
        <w:kinsoku/>
        <w:wordWrap/>
        <w:overflowPunct/>
        <w:topLinePunct w:val="0"/>
        <w:bidi w:val="0"/>
        <w:spacing w:line="4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部门整体（含部门预算项目）绩效自评得分为</w:t>
      </w:r>
      <w:r>
        <w:rPr>
          <w:rFonts w:hint="eastAsia" w:ascii="仿宋_GB2312" w:hAnsi="仿宋_GB2312" w:eastAsia="仿宋_GB2312" w:cs="仿宋_GB2312"/>
          <w:sz w:val="32"/>
          <w:szCs w:val="32"/>
          <w:lang w:val="en-US" w:eastAsia="zh-CN"/>
        </w:rPr>
        <w:t>91.37</w:t>
      </w:r>
      <w:r>
        <w:rPr>
          <w:rFonts w:hint="eastAsia" w:ascii="仿宋_GB2312" w:hAnsi="仿宋_GB2312" w:eastAsia="仿宋_GB2312" w:cs="仿宋_GB2312"/>
          <w:sz w:val="32"/>
          <w:szCs w:val="32"/>
        </w:rPr>
        <w:t>分，绩效自评综述：</w:t>
      </w:r>
      <w:r>
        <w:rPr>
          <w:rFonts w:ascii="仿宋_GB2312" w:hAnsi="仿宋_GB2312" w:eastAsia="仿宋_GB2312" w:cs="仿宋_GB2312"/>
          <w:color w:val="000000"/>
          <w:kern w:val="0"/>
          <w:sz w:val="31"/>
          <w:szCs w:val="31"/>
          <w:lang w:val="en-US" w:eastAsia="zh-CN" w:bidi="ar"/>
        </w:rPr>
        <w:t>本单位履职效果和预算管理效果较好，财务管理、资产管理、采购管理规范，项目决策程序严格，项目执行进度良好，绩效目标实现程度良好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绩效自评报告详见附件</w:t>
      </w:r>
      <w:r>
        <w:rPr>
          <w:rFonts w:hint="eastAsia" w:ascii="仿宋_GB2312" w:hAnsi="仿宋_GB2312" w:eastAsia="仿宋_GB2312" w:cs="仿宋_GB2312"/>
          <w:sz w:val="32"/>
          <w:szCs w:val="32"/>
          <w:lang w:eastAsia="zh-CN"/>
        </w:rPr>
        <w:t>）</w:t>
      </w:r>
    </w:p>
    <w:p w14:paraId="23FFBEC5">
      <w:pPr>
        <w:pageBreakBefore w:val="0"/>
        <w:kinsoku/>
        <w:wordWrap/>
        <w:overflowPunct/>
        <w:topLinePunct w:val="0"/>
        <w:bidi w:val="0"/>
        <w:spacing w:line="44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2022年度科技成果转化项目</w:t>
      </w:r>
      <w:r>
        <w:rPr>
          <w:rFonts w:hint="eastAsia" w:ascii="仿宋_GB2312" w:hAnsi="仿宋_GB2312" w:eastAsia="仿宋_GB2312" w:cs="仿宋_GB2312"/>
          <w:sz w:val="32"/>
          <w:szCs w:val="32"/>
        </w:rPr>
        <w:t>专项预算项目绩效自评得分为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分，绩效自评综述：</w:t>
      </w:r>
      <w:r>
        <w:rPr>
          <w:rFonts w:hint="eastAsia" w:ascii="仿宋_GB2312" w:hAnsi="仿宋_GB2312" w:eastAsia="仿宋_GB2312" w:cs="仿宋_GB2312"/>
          <w:sz w:val="32"/>
          <w:szCs w:val="32"/>
          <w:lang w:val="en-US" w:eastAsia="zh-CN"/>
        </w:rPr>
        <w:t>该项目</w:t>
      </w:r>
      <w:r>
        <w:rPr>
          <w:rFonts w:hint="eastAsia" w:ascii="仿宋_GB2312" w:hAnsi="仿宋_GB2312" w:eastAsia="仿宋_GB2312" w:cs="仿宋_GB2312"/>
          <w:sz w:val="32"/>
          <w:szCs w:val="32"/>
          <w:lang w:val="zh-CN"/>
        </w:rPr>
        <w:t>按照任务要求，目前已构建了</w:t>
      </w:r>
      <w:r>
        <w:rPr>
          <w:rFonts w:hint="eastAsia" w:ascii="仿宋_GB2312" w:hAnsi="仿宋_GB2312" w:eastAsia="仿宋_GB2312" w:cs="仿宋_GB2312"/>
          <w:sz w:val="32"/>
          <w:szCs w:val="32"/>
        </w:rPr>
        <w:t>基于云微服务的达古冰川智慧旅游服务平台各模块的开发</w:t>
      </w:r>
      <w:r>
        <w:rPr>
          <w:rFonts w:hint="eastAsia" w:ascii="仿宋_GB2312" w:hAnsi="仿宋_GB2312" w:eastAsia="仿宋_GB2312" w:cs="仿宋_GB2312"/>
          <w:sz w:val="32"/>
          <w:szCs w:val="32"/>
          <w:lang w:val="zh-CN"/>
        </w:rPr>
        <w:t>，研制了基于云计算微服务的达古冰川智慧旅游服务基础平台，发表了研究论文2篇，在审论文1篇，申请发明专利3项，申请了2项软件作品登记</w:t>
      </w:r>
      <w:r>
        <w:rPr>
          <w:rFonts w:hint="eastAsia" w:ascii="仿宋_GB2312" w:hAnsi="仿宋_GB2312" w:eastAsia="仿宋_GB2312" w:cs="仿宋_GB2312"/>
          <w:sz w:val="32"/>
          <w:szCs w:val="32"/>
          <w:lang w:eastAsia="zh-CN"/>
        </w:rPr>
        <w:t>。</w:t>
      </w:r>
    </w:p>
    <w:p w14:paraId="09F8FABF">
      <w:pPr>
        <w:pageBreakBefore w:val="0"/>
        <w:kinsoku/>
        <w:wordWrap/>
        <w:overflowPunct/>
        <w:topLinePunct w:val="0"/>
        <w:bidi w:val="0"/>
        <w:spacing w:line="44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第一批省级科技计划项目自评得分为100分，该项目按照任务要求，已完成超半的任务书；构建了阿坝州生态资源（局部）高程系统；已发表高质量论文3篇；申请发明专利4项；提出一套满足遥感图像处理的深度学习算法。</w:t>
      </w:r>
    </w:p>
    <w:p w14:paraId="35E948A7">
      <w:pPr>
        <w:pStyle w:val="3"/>
        <w:pageBreakBefore w:val="0"/>
        <w:numPr>
          <w:ilvl w:val="0"/>
          <w:numId w:val="4"/>
        </w:numPr>
        <w:kinsoku/>
        <w:wordWrap/>
        <w:overflowPunct/>
        <w:topLinePunct w:val="0"/>
        <w:bidi w:val="0"/>
        <w:spacing w:line="440" w:lineRule="exact"/>
        <w:jc w:val="center"/>
        <w:rPr>
          <w:rFonts w:hint="eastAsia"/>
        </w:rPr>
      </w:pPr>
      <w:r>
        <w:rPr>
          <w:rFonts w:hint="eastAsia"/>
        </w:rPr>
        <w:t>名词解释</w:t>
      </w:r>
    </w:p>
    <w:p w14:paraId="3717EC5D">
      <w:pPr>
        <w:numPr>
          <w:ilvl w:val="0"/>
          <w:numId w:val="0"/>
        </w:numPr>
      </w:pPr>
    </w:p>
    <w:p w14:paraId="7D26CAF0">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14:paraId="56AD048F">
      <w:pPr>
        <w:pStyle w:val="28"/>
        <w:keepNext w:val="0"/>
        <w:keepLines w:val="0"/>
        <w:pageBreakBefore w:val="0"/>
        <w:kinsoku/>
        <w:wordWrap/>
        <w:overflowPunct/>
        <w:topLinePunct w:val="0"/>
        <w:bidi w:val="0"/>
        <w:spacing w:line="440" w:lineRule="exact"/>
        <w:ind w:firstLine="640" w:firstLineChars="200"/>
        <w:textAlignment w:val="auto"/>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w:t>
      </w:r>
    </w:p>
    <w:p w14:paraId="3A0D9598">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w:t>
      </w:r>
    </w:p>
    <w:p w14:paraId="1EC56C87">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w:t>
      </w:r>
    </w:p>
    <w:p w14:paraId="695D08CE">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14:paraId="76FC53E6">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14:paraId="29C94A12">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14:paraId="528FA1CC">
      <w:pPr>
        <w:pStyle w:val="28"/>
        <w:keepNext w:val="0"/>
        <w:keepLines w:val="0"/>
        <w:pageBreakBefore w:val="0"/>
        <w:kinsoku/>
        <w:wordWrap/>
        <w:overflowPunct/>
        <w:topLinePunct w:val="0"/>
        <w:bidi w:val="0"/>
        <w:spacing w:line="440" w:lineRule="exact"/>
        <w:ind w:firstLine="640" w:firstLineChars="200"/>
        <w:textAlignment w:val="auto"/>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14:paraId="1D50A1FB">
      <w:pPr>
        <w:keepNext w:val="0"/>
        <w:keepLines w:val="0"/>
        <w:pageBreakBefore w:val="0"/>
        <w:widowControl w:val="0"/>
        <w:kinsoku/>
        <w:wordWrap/>
        <w:overflowPunct/>
        <w:topLinePunct w:val="0"/>
        <w:bidi w:val="0"/>
        <w:snapToGrid/>
        <w:spacing w:line="44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9.</w:t>
      </w:r>
      <w:r>
        <w:rPr>
          <w:rFonts w:hint="eastAsia" w:ascii="仿宋" w:hAnsi="仿宋" w:eastAsia="仿宋" w:cs="仿宋"/>
          <w:color w:val="000000"/>
          <w:sz w:val="32"/>
          <w:szCs w:val="32"/>
          <w:lang w:eastAsia="zh-CN"/>
        </w:rPr>
        <w:t>机关事业单位基本养老保险缴费支出</w:t>
      </w:r>
      <w:r>
        <w:rPr>
          <w:rFonts w:hint="eastAsia" w:ascii="仿宋" w:hAnsi="仿宋" w:eastAsia="仿宋" w:cs="仿宋"/>
          <w:color w:val="000000"/>
          <w:sz w:val="32"/>
          <w:szCs w:val="32"/>
        </w:rPr>
        <w:t>：指</w:t>
      </w:r>
      <w:r>
        <w:rPr>
          <w:rFonts w:hint="eastAsia" w:ascii="仿宋" w:hAnsi="仿宋" w:eastAsia="仿宋" w:cs="仿宋"/>
          <w:color w:val="000000"/>
          <w:sz w:val="32"/>
          <w:szCs w:val="32"/>
          <w:lang w:eastAsia="zh-CN"/>
        </w:rPr>
        <w:t>机关事业单位实施养老保险制度由单位缴纳的基本养老保险费支出</w:t>
      </w:r>
      <w:r>
        <w:rPr>
          <w:rFonts w:hint="eastAsia" w:ascii="仿宋" w:hAnsi="仿宋" w:eastAsia="仿宋" w:cs="仿宋"/>
          <w:color w:val="000000"/>
          <w:sz w:val="32"/>
          <w:szCs w:val="32"/>
        </w:rPr>
        <w:t>。</w:t>
      </w:r>
    </w:p>
    <w:p w14:paraId="7810AA3D">
      <w:pPr>
        <w:keepNext w:val="0"/>
        <w:keepLines w:val="0"/>
        <w:pageBreakBefore w:val="0"/>
        <w:widowControl w:val="0"/>
        <w:kinsoku/>
        <w:wordWrap/>
        <w:overflowPunct/>
        <w:topLinePunct w:val="0"/>
        <w:bidi w:val="0"/>
        <w:snapToGrid/>
        <w:spacing w:line="440" w:lineRule="exact"/>
        <w:ind w:firstLine="640" w:firstLineChars="200"/>
        <w:textAlignment w:val="auto"/>
        <w:outlineLvl w:val="9"/>
        <w:rPr>
          <w:rFonts w:hint="eastAsia" w:ascii="仿宋" w:hAnsi="仿宋" w:eastAsia="仿宋" w:cs="仿宋"/>
          <w:color w:val="000000"/>
          <w:sz w:val="32"/>
          <w:szCs w:val="32"/>
        </w:rPr>
      </w:pPr>
      <w:r>
        <w:rPr>
          <w:rFonts w:hint="eastAsia" w:ascii="仿宋" w:hAnsi="仿宋" w:eastAsia="仿宋" w:cs="仿宋"/>
          <w:color w:val="000000"/>
          <w:sz w:val="32"/>
          <w:szCs w:val="32"/>
        </w:rPr>
        <w:t>10.</w:t>
      </w:r>
      <w:r>
        <w:rPr>
          <w:rFonts w:hint="eastAsia" w:ascii="仿宋" w:hAnsi="仿宋" w:eastAsia="仿宋" w:cs="仿宋"/>
          <w:color w:val="000000"/>
          <w:sz w:val="32"/>
          <w:szCs w:val="32"/>
          <w:lang w:val="en-US" w:eastAsia="zh-CN"/>
        </w:rPr>
        <w:t>机关事业单位职业年金缴费支出：指机关事业单位实施养老保险制度由单位实际缴纳的职业年金支出。</w:t>
      </w:r>
    </w:p>
    <w:p w14:paraId="6E2FEA02">
      <w:pPr>
        <w:keepNext w:val="0"/>
        <w:keepLines w:val="0"/>
        <w:pageBreakBefore w:val="0"/>
        <w:widowControl w:val="0"/>
        <w:kinsoku/>
        <w:wordWrap/>
        <w:overflowPunct/>
        <w:topLinePunct w:val="0"/>
        <w:bidi w:val="0"/>
        <w:snapToGrid/>
        <w:spacing w:line="440" w:lineRule="exact"/>
        <w:ind w:firstLine="640" w:firstLineChars="200"/>
        <w:textAlignment w:val="auto"/>
        <w:outlineLvl w:val="9"/>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rPr>
        <w:t>11.</w:t>
      </w:r>
      <w:r>
        <w:rPr>
          <w:rFonts w:hint="eastAsia" w:ascii="仿宋" w:hAnsi="仿宋" w:eastAsia="仿宋" w:cs="仿宋"/>
          <w:color w:val="000000"/>
          <w:sz w:val="32"/>
          <w:szCs w:val="32"/>
          <w:lang w:val="en-US" w:eastAsia="zh-CN"/>
        </w:rPr>
        <w:t>住房公积金：指行政事业单位按人力资源和社会保障部、财政部规定的基本工资和津贴补贴以及规定比例为职工缴纳的住房公积金。</w:t>
      </w:r>
    </w:p>
    <w:p w14:paraId="4F49606B">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12</w:t>
      </w:r>
      <w:r>
        <w:rPr>
          <w:rFonts w:hint="eastAsia" w:ascii="仿宋" w:hAnsi="仿宋" w:eastAsia="仿宋" w:cs="仿宋"/>
          <w:color w:val="000000"/>
          <w:sz w:val="32"/>
          <w:szCs w:val="32"/>
        </w:rPr>
        <w:t>.基本支出：指为保障机构正常运转、完成日常工作任务而发生的人员支出和公用支出。</w:t>
      </w:r>
    </w:p>
    <w:p w14:paraId="314C2D7A">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 xml:space="preserve">.项目支出：指在基本支出之外为完成特定行政任务和事业发展目标所发生的支出。 </w:t>
      </w:r>
    </w:p>
    <w:p w14:paraId="38A83755">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.经营支出：指事业单位在专业业务活动及其辅助活动之外开展非独立核算经营活动发生的支出。</w:t>
      </w:r>
    </w:p>
    <w:p w14:paraId="570CDDAE">
      <w:pPr>
        <w:pStyle w:val="28"/>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w:t>
      </w:r>
      <w:r>
        <w:rPr>
          <w:rFonts w:hint="eastAsia" w:ascii="仿宋" w:hAnsi="仿宋" w:eastAsia="仿宋" w:cs="仿宋"/>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26D307AC">
      <w:pPr>
        <w:pStyle w:val="28"/>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w:t>
      </w:r>
      <w:r>
        <w:rPr>
          <w:rFonts w:hint="eastAsia" w:ascii="仿宋" w:hAnsi="仿宋" w:eastAsia="仿宋" w:cs="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36EEBC07">
      <w:pPr>
        <w:keepNext w:val="0"/>
        <w:keepLines w:val="0"/>
        <w:pageBreakBefore w:val="0"/>
        <w:kinsoku/>
        <w:wordWrap/>
        <w:overflowPunct/>
        <w:topLinePunct w:val="0"/>
        <w:bidi w:val="0"/>
        <w:spacing w:line="440" w:lineRule="exact"/>
        <w:ind w:firstLine="640" w:firstLineChars="200"/>
        <w:textAlignment w:val="auto"/>
        <w:rPr>
          <w:rStyle w:val="20"/>
          <w:rFonts w:hint="eastAsia" w:ascii="仿宋" w:hAnsi="仿宋" w:eastAsia="仿宋" w:cs="仿宋"/>
          <w:b w:val="0"/>
          <w:bCs w:val="0"/>
          <w:color w:val="000000"/>
          <w:sz w:val="32"/>
          <w:szCs w:val="32"/>
          <w:lang w:val="zh-CN" w:eastAsia="zh-CN"/>
        </w:rPr>
      </w:pPr>
      <w:r>
        <w:rPr>
          <w:rStyle w:val="20"/>
          <w:rFonts w:hint="eastAsia" w:ascii="仿宋" w:hAnsi="仿宋" w:eastAsia="仿宋" w:cs="仿宋"/>
          <w:b w:val="0"/>
          <w:bCs w:val="0"/>
          <w:color w:val="000000"/>
          <w:sz w:val="32"/>
          <w:szCs w:val="32"/>
          <w:lang w:val="en-US" w:eastAsia="zh-CN"/>
        </w:rPr>
        <w:t>17.</w:t>
      </w:r>
      <w:r>
        <w:rPr>
          <w:rStyle w:val="20"/>
          <w:rFonts w:hint="eastAsia" w:ascii="仿宋" w:hAnsi="仿宋" w:eastAsia="仿宋" w:cs="仿宋"/>
          <w:b w:val="0"/>
          <w:bCs w:val="0"/>
          <w:color w:val="000000"/>
          <w:sz w:val="32"/>
          <w:szCs w:val="32"/>
          <w:lang w:eastAsia="zh-CN"/>
        </w:rPr>
        <w:t>其他旅游业管理与服务支出</w:t>
      </w:r>
      <w:r>
        <w:rPr>
          <w:rStyle w:val="20"/>
          <w:rFonts w:hint="eastAsia" w:ascii="仿宋" w:hAnsi="仿宋" w:eastAsia="仿宋" w:cs="仿宋"/>
          <w:b w:val="0"/>
          <w:bCs w:val="0"/>
          <w:color w:val="000000"/>
          <w:sz w:val="32"/>
          <w:szCs w:val="32"/>
          <w:lang w:val="en-US" w:eastAsia="zh-CN"/>
        </w:rPr>
        <w:t>：指除上述项目以外其他用于旅游业管理与服务方面的支出。</w:t>
      </w:r>
      <w:r>
        <w:rPr>
          <w:rFonts w:hint="eastAsia" w:ascii="仿宋" w:hAnsi="仿宋" w:eastAsia="仿宋" w:cs="仿宋"/>
          <w:sz w:val="32"/>
          <w:szCs w:val="32"/>
          <w:shd w:val="clear" w:color="auto" w:fill="FFFFFF"/>
        </w:rPr>
        <w:t> </w:t>
      </w:r>
    </w:p>
    <w:p w14:paraId="3E79C963">
      <w:pPr>
        <w:pageBreakBefore w:val="0"/>
        <w:kinsoku/>
        <w:wordWrap/>
        <w:overflowPunct/>
        <w:topLinePunct w:val="0"/>
        <w:bidi w:val="0"/>
        <w:spacing w:line="440" w:lineRule="exact"/>
        <w:ind w:firstLine="643" w:firstLineChars="200"/>
        <w:rPr>
          <w:rFonts w:ascii="仿宋" w:hAnsi="仿宋" w:eastAsia="仿宋"/>
          <w:b/>
          <w:sz w:val="32"/>
          <w:szCs w:val="32"/>
        </w:rPr>
      </w:pPr>
      <w:r>
        <w:rPr>
          <w:rFonts w:ascii="仿宋" w:hAnsi="仿宋" w:eastAsia="仿宋"/>
          <w:b/>
          <w:sz w:val="32"/>
          <w:szCs w:val="32"/>
        </w:rPr>
        <w:br w:type="page"/>
      </w:r>
    </w:p>
    <w:p w14:paraId="3D3E131E">
      <w:pPr>
        <w:pStyle w:val="3"/>
        <w:pageBreakBefore w:val="0"/>
        <w:kinsoku/>
        <w:wordWrap/>
        <w:overflowPunct/>
        <w:topLinePunct w:val="0"/>
        <w:bidi w:val="0"/>
        <w:spacing w:line="440" w:lineRule="exact"/>
        <w:jc w:val="center"/>
        <w:rPr>
          <w:rFonts w:hint="default" w:ascii="Times New Roman" w:hAnsi="Times New Roman" w:eastAsia="宋体" w:cs="Times New Roman"/>
          <w:b/>
          <w:color w:val="auto"/>
          <w:sz w:val="44"/>
          <w:szCs w:val="44"/>
          <w:highlight w:val="none"/>
          <w:shd w:val="clear" w:color="auto" w:fill="FFFFFF"/>
        </w:rPr>
      </w:pPr>
      <w:r>
        <w:rPr>
          <w:rFonts w:hint="eastAsia" w:ascii="黑体" w:hAnsi="黑体" w:eastAsia="黑体"/>
          <w:b w:val="0"/>
        </w:rPr>
        <w:t>第四部分 附件</w:t>
      </w:r>
    </w:p>
    <w:p w14:paraId="317DACD4">
      <w:pPr>
        <w:keepNext w:val="0"/>
        <w:keepLines w:val="0"/>
        <w:pageBreakBefore w:val="0"/>
        <w:widowControl/>
        <w:kinsoku/>
        <w:wordWrap/>
        <w:overflowPunct/>
        <w:topLinePunct w:val="0"/>
        <w:autoSpaceDE/>
        <w:autoSpaceDN/>
        <w:bidi w:val="0"/>
        <w:spacing w:line="440" w:lineRule="exact"/>
        <w:contextualSpacing/>
        <w:jc w:val="center"/>
        <w:textAlignment w:val="auto"/>
        <w:outlineLvl w:val="9"/>
        <w:rPr>
          <w:rFonts w:hint="eastAsia" w:eastAsia="方正小标宋简体" w:cs="Times New Roman"/>
          <w:b w:val="0"/>
          <w:bCs/>
          <w:color w:val="auto"/>
          <w:sz w:val="44"/>
          <w:szCs w:val="44"/>
          <w:highlight w:val="none"/>
          <w:shd w:val="clear" w:color="auto" w:fill="FFFFFF"/>
          <w:lang w:val="en-US" w:eastAsia="zh-CN"/>
        </w:rPr>
      </w:pPr>
      <w:r>
        <w:rPr>
          <w:rFonts w:hint="eastAsia" w:eastAsia="方正小标宋简体" w:cs="Times New Roman"/>
          <w:b w:val="0"/>
          <w:bCs/>
          <w:color w:val="auto"/>
          <w:sz w:val="44"/>
          <w:szCs w:val="44"/>
          <w:highlight w:val="none"/>
          <w:shd w:val="clear" w:color="auto" w:fill="FFFFFF"/>
          <w:lang w:val="en-US" w:eastAsia="zh-CN"/>
        </w:rPr>
        <w:t>达古冰川管理局</w:t>
      </w:r>
    </w:p>
    <w:p w14:paraId="4062C9CF">
      <w:pPr>
        <w:keepNext w:val="0"/>
        <w:keepLines w:val="0"/>
        <w:pageBreakBefore w:val="0"/>
        <w:widowControl/>
        <w:kinsoku/>
        <w:wordWrap/>
        <w:overflowPunct/>
        <w:topLinePunct w:val="0"/>
        <w:autoSpaceDE/>
        <w:autoSpaceDN/>
        <w:bidi w:val="0"/>
        <w:spacing w:line="440" w:lineRule="exact"/>
        <w:contextualSpacing/>
        <w:jc w:val="center"/>
        <w:textAlignment w:val="auto"/>
        <w:outlineLvl w:val="9"/>
        <w:rPr>
          <w:rFonts w:hint="default" w:ascii="Times New Roman" w:hAnsi="Times New Roman" w:eastAsia="方正小标宋简体" w:cs="Times New Roman"/>
          <w:b w:val="0"/>
          <w:bCs/>
          <w:color w:val="auto"/>
          <w:sz w:val="44"/>
          <w:szCs w:val="44"/>
          <w:highlight w:val="none"/>
          <w:shd w:val="clear" w:color="auto" w:fill="FFFFFF"/>
        </w:rPr>
      </w:pPr>
      <w:r>
        <w:rPr>
          <w:rFonts w:hint="eastAsia" w:eastAsia="方正小标宋简体" w:cs="Times New Roman"/>
          <w:b w:val="0"/>
          <w:bCs/>
          <w:color w:val="auto"/>
          <w:sz w:val="44"/>
          <w:szCs w:val="44"/>
          <w:highlight w:val="none"/>
          <w:shd w:val="clear" w:color="auto" w:fill="FFFFFF"/>
          <w:lang w:val="en-US" w:eastAsia="zh-CN"/>
        </w:rPr>
        <w:t>2023年度部门预算绩效自评</w:t>
      </w:r>
      <w:r>
        <w:rPr>
          <w:rFonts w:hint="default" w:ascii="Times New Roman" w:hAnsi="Times New Roman" w:eastAsia="方正小标宋简体" w:cs="Times New Roman"/>
          <w:b w:val="0"/>
          <w:bCs/>
          <w:color w:val="auto"/>
          <w:sz w:val="44"/>
          <w:szCs w:val="44"/>
          <w:highlight w:val="none"/>
          <w:shd w:val="clear" w:color="auto" w:fill="FFFFFF"/>
        </w:rPr>
        <w:t>报告</w:t>
      </w:r>
    </w:p>
    <w:p w14:paraId="2A6065D2">
      <w:pPr>
        <w:keepNext w:val="0"/>
        <w:keepLines w:val="0"/>
        <w:pageBreakBefore w:val="0"/>
        <w:widowControl/>
        <w:kinsoku/>
        <w:wordWrap/>
        <w:overflowPunct/>
        <w:topLinePunct w:val="0"/>
        <w:autoSpaceDE/>
        <w:autoSpaceDN/>
        <w:bidi w:val="0"/>
        <w:spacing w:line="440" w:lineRule="exact"/>
        <w:contextualSpacing/>
        <w:jc w:val="center"/>
        <w:textAlignment w:val="auto"/>
        <w:outlineLvl w:val="9"/>
        <w:rPr>
          <w:rFonts w:hint="default" w:ascii="Times New Roman" w:hAnsi="Times New Roman" w:eastAsia="方正小标宋简体" w:cs="Times New Roman"/>
          <w:b w:val="0"/>
          <w:bCs/>
          <w:color w:val="auto"/>
          <w:sz w:val="44"/>
          <w:szCs w:val="44"/>
          <w:highlight w:val="none"/>
          <w:shd w:val="clear" w:color="auto" w:fill="FFFFFF"/>
        </w:rPr>
      </w:pPr>
    </w:p>
    <w:p w14:paraId="655D1286">
      <w:pPr>
        <w:keepNext w:val="0"/>
        <w:keepLines w:val="0"/>
        <w:pageBreakBefore w:val="0"/>
        <w:widowControl/>
        <w:kinsoku/>
        <w:wordWrap/>
        <w:overflowPunct/>
        <w:topLinePunct w:val="0"/>
        <w:autoSpaceDE/>
        <w:autoSpaceDN/>
        <w:bidi w:val="0"/>
        <w:adjustRightInd w:val="0"/>
        <w:snapToGrid w:val="0"/>
        <w:spacing w:line="440" w:lineRule="exact"/>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阿坝州财政局:</w:t>
      </w:r>
    </w:p>
    <w:p w14:paraId="6165437F">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按照《阿坝州财政局关于开展2024年度州级部门绩效自评工作的通知》（阿州财监绩〔2024〕19号），现将我局2023年度部门预算绩效情况报告如下：</w:t>
      </w:r>
    </w:p>
    <w:p w14:paraId="53BFE897">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Times New Roman" w:hAnsi="Times New Roman" w:eastAsia="黑体" w:cs="Times New Roman"/>
          <w:color w:val="auto"/>
          <w:kern w:val="0"/>
          <w:sz w:val="32"/>
          <w:szCs w:val="32"/>
          <w:highlight w:val="none"/>
          <w:shd w:val="clear" w:color="auto" w:fill="FFFFFF"/>
          <w:lang w:val="zh-CN" w:eastAsia="zh-CN"/>
        </w:rPr>
        <w:t>一、</w:t>
      </w:r>
      <w:r>
        <w:rPr>
          <w:rFonts w:hint="default" w:ascii="Times New Roman" w:hAnsi="Times New Roman" w:eastAsia="黑体" w:cs="Times New Roman"/>
          <w:color w:val="auto"/>
          <w:kern w:val="0"/>
          <w:sz w:val="32"/>
          <w:szCs w:val="32"/>
          <w:highlight w:val="none"/>
          <w:shd w:val="clear" w:color="auto" w:fill="FFFFFF"/>
          <w:lang w:val="zh-CN" w:eastAsia="zh-CN"/>
        </w:rPr>
        <w:t>部门（单位）基本情况</w:t>
      </w:r>
    </w:p>
    <w:p w14:paraId="0F36B182">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eastAsia" w:ascii="Times New Roman" w:hAnsi="Times New Roman" w:eastAsia="楷体_GB2312" w:cs="Times New Roman"/>
          <w:b/>
          <w:bCs/>
          <w:color w:val="auto"/>
          <w:kern w:val="0"/>
          <w:sz w:val="32"/>
          <w:szCs w:val="32"/>
          <w:highlight w:val="none"/>
          <w:shd w:val="clear" w:color="auto" w:fill="FFFFFF"/>
          <w:lang w:val="zh-CN" w:eastAsia="zh-CN"/>
        </w:rPr>
        <w:t>（一）</w:t>
      </w:r>
      <w:r>
        <w:rPr>
          <w:rFonts w:hint="default" w:ascii="Times New Roman" w:hAnsi="Times New Roman" w:eastAsia="楷体_GB2312" w:cs="Times New Roman"/>
          <w:b/>
          <w:bCs/>
          <w:color w:val="auto"/>
          <w:kern w:val="0"/>
          <w:sz w:val="32"/>
          <w:szCs w:val="32"/>
          <w:highlight w:val="none"/>
          <w:shd w:val="clear" w:color="auto" w:fill="FFFFFF"/>
          <w:lang w:val="zh-CN" w:eastAsia="zh-CN"/>
        </w:rPr>
        <w:t>机构组成。</w:t>
      </w:r>
    </w:p>
    <w:p w14:paraId="5605901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达古冰川管理局（下称“本单位”）属一级预算单位，无下属二级预算单位，其中：无行政单位；无参照公务员法管理的事业单位；无其他事业单位。</w:t>
      </w:r>
    </w:p>
    <w:p w14:paraId="687D300B">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eastAsia" w:ascii="Times New Roman" w:hAnsi="Times New Roman" w:eastAsia="楷体_GB2312" w:cs="Times New Roman"/>
          <w:b/>
          <w:bCs/>
          <w:color w:val="auto"/>
          <w:kern w:val="0"/>
          <w:sz w:val="32"/>
          <w:szCs w:val="32"/>
          <w:highlight w:val="none"/>
          <w:shd w:val="clear" w:color="auto" w:fill="FFFFFF"/>
          <w:lang w:val="zh-CN" w:eastAsia="zh-CN"/>
        </w:rPr>
      </w:pP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en-US" w:eastAsia="zh-CN"/>
        </w:rPr>
        <w:t>二</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default" w:ascii="Times New Roman" w:hAnsi="Times New Roman" w:eastAsia="楷体_GB2312" w:cs="Times New Roman"/>
          <w:b/>
          <w:bCs/>
          <w:color w:val="auto"/>
          <w:kern w:val="0"/>
          <w:sz w:val="32"/>
          <w:szCs w:val="32"/>
          <w:highlight w:val="none"/>
          <w:shd w:val="clear" w:color="auto" w:fill="FFFFFF"/>
          <w:lang w:val="zh-CN" w:eastAsia="zh-CN"/>
        </w:rPr>
        <w:t>机构职能</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p>
    <w:p w14:paraId="70F308D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达古冰川管理局与四川三达古自然保护区管理局执行两块牌子一套人马的管理制度。主要职责是景区内632平方公里森林资源管护、野生动植物保护，旅游建设与开发等职责。</w:t>
      </w:r>
    </w:p>
    <w:p w14:paraId="4C71D919">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eastAsia" w:ascii="Times New Roman" w:hAnsi="Times New Roman" w:eastAsia="楷体_GB2312" w:cs="Times New Roman"/>
          <w:b/>
          <w:bCs/>
          <w:color w:val="auto"/>
          <w:kern w:val="0"/>
          <w:sz w:val="32"/>
          <w:szCs w:val="32"/>
          <w:highlight w:val="none"/>
          <w:shd w:val="clear" w:color="auto" w:fill="FFFFFF"/>
          <w:lang w:val="zh-CN" w:eastAsia="zh-CN"/>
        </w:rPr>
      </w:pP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en-US" w:eastAsia="zh-CN"/>
        </w:rPr>
        <w:t>三</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default" w:ascii="Times New Roman" w:hAnsi="Times New Roman" w:eastAsia="楷体_GB2312" w:cs="Times New Roman"/>
          <w:b/>
          <w:bCs/>
          <w:color w:val="auto"/>
          <w:kern w:val="0"/>
          <w:sz w:val="32"/>
          <w:szCs w:val="32"/>
          <w:highlight w:val="none"/>
          <w:shd w:val="clear" w:color="auto" w:fill="FFFFFF"/>
          <w:lang w:val="zh-CN" w:eastAsia="zh-CN"/>
        </w:rPr>
        <w:t>人员概况</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p>
    <w:p w14:paraId="57D2C521">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default" w:ascii="仿宋_GB2312" w:hAnsi="仿宋_GB2312" w:eastAsia="仿宋_GB2312" w:cs="仿宋_GB2312"/>
          <w:b w:val="0"/>
          <w:bCs w:val="0"/>
          <w:color w:val="000000"/>
          <w:sz w:val="31"/>
          <w:szCs w:val="31"/>
          <w:lang w:val="en-US" w:eastAsia="zh-CN"/>
        </w:rPr>
        <w:t>本单位本年度年末实有人数为80人，比上年增加4人；年末实有离退休人数为12人，比上年增加2人；变动情况及原因为2023年新进人员。年末实有其他人数为78人，比上年增加3人；变动情况及原因为新进临聘人员</w:t>
      </w:r>
      <w:r>
        <w:rPr>
          <w:rFonts w:hint="eastAsia" w:ascii="仿宋_GB2312" w:hAnsi="仿宋_GB2312" w:eastAsia="仿宋_GB2312" w:cs="仿宋_GB2312"/>
          <w:b w:val="0"/>
          <w:bCs w:val="0"/>
          <w:color w:val="000000"/>
          <w:sz w:val="31"/>
          <w:szCs w:val="31"/>
          <w:lang w:val="en-US" w:eastAsia="zh-CN"/>
        </w:rPr>
        <w:t>。</w:t>
      </w:r>
    </w:p>
    <w:p w14:paraId="4470F84E">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contextualSpacing/>
        <w:jc w:val="both"/>
        <w:textAlignment w:val="auto"/>
        <w:outlineLvl w:val="9"/>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en-US" w:eastAsia="zh-CN"/>
        </w:rPr>
        <w:t>二、部门资金收支情况</w:t>
      </w:r>
    </w:p>
    <w:p w14:paraId="3AF7DAC8">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（一）</w:t>
      </w:r>
      <w:r>
        <w:rPr>
          <w:rFonts w:hint="eastAsia" w:ascii="Times New Roman" w:hAnsi="Times New Roman" w:eastAsia="楷体_GB2312" w:cs="Times New Roman"/>
          <w:b/>
          <w:bCs/>
          <w:color w:val="auto"/>
          <w:kern w:val="0"/>
          <w:sz w:val="32"/>
          <w:szCs w:val="32"/>
          <w:highlight w:val="none"/>
          <w:shd w:val="clear" w:color="auto" w:fill="FFFFFF"/>
          <w:lang w:val="zh-CN" w:eastAsia="zh-CN"/>
        </w:rPr>
        <w:t>收入情况</w:t>
      </w:r>
      <w:r>
        <w:rPr>
          <w:rFonts w:hint="default" w:ascii="Times New Roman" w:hAnsi="Times New Roman" w:eastAsia="楷体_GB2312" w:cs="Times New Roman"/>
          <w:b/>
          <w:bCs/>
          <w:color w:val="auto"/>
          <w:kern w:val="0"/>
          <w:sz w:val="32"/>
          <w:szCs w:val="32"/>
          <w:highlight w:val="none"/>
          <w:shd w:val="clear" w:color="auto" w:fill="FFFFFF"/>
          <w:lang w:val="zh-CN" w:eastAsia="zh-CN"/>
        </w:rPr>
        <w:t>。</w:t>
      </w:r>
    </w:p>
    <w:p w14:paraId="44FC4DE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本单位本年度收入的年初预算数为3814.59万元，上年度收入的年初预算数为3012.91万元，差异为801.68万元；主要原因为职工综合奖和营销费纳入年度预算。决算报表收入3735.21万元。其中：上年结转0.00万元，占0.00%。</w:t>
      </w:r>
    </w:p>
    <w:p w14:paraId="79F16322">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zh-CN" w:eastAsia="zh-CN"/>
        </w:rPr>
        <w:t>二</w:t>
      </w:r>
      <w:r>
        <w:rPr>
          <w:rFonts w:hint="default"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zh-CN" w:eastAsia="zh-CN"/>
        </w:rPr>
        <w:t>支出情况</w:t>
      </w:r>
      <w:r>
        <w:rPr>
          <w:rFonts w:hint="default" w:ascii="Times New Roman" w:hAnsi="Times New Roman" w:eastAsia="楷体_GB2312" w:cs="Times New Roman"/>
          <w:b/>
          <w:bCs/>
          <w:color w:val="auto"/>
          <w:kern w:val="0"/>
          <w:sz w:val="32"/>
          <w:szCs w:val="32"/>
          <w:highlight w:val="none"/>
          <w:shd w:val="clear" w:color="auto" w:fill="FFFFFF"/>
          <w:lang w:val="zh-CN" w:eastAsia="zh-CN"/>
        </w:rPr>
        <w:t>。</w:t>
      </w:r>
    </w:p>
    <w:p w14:paraId="1FC752D2">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本年度支出的年初预算数为3814.59万元，上年度支出的年初预算数为3012.91万元，差异为801.68万元；主要原因为职工综合奖和营销费纳入年度预算。决算报表支出3735.21万元，上年度支出决算报表支出4142.85，减少407.64万元，主要原因为项目经费减少。</w:t>
      </w:r>
    </w:p>
    <w:p w14:paraId="219710BF">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eastAsia" w:ascii="Times New Roman" w:hAnsi="Times New Roman" w:eastAsia="楷体_GB2312" w:cs="Times New Roman"/>
          <w:b/>
          <w:bCs/>
          <w:color w:val="auto"/>
          <w:kern w:val="0"/>
          <w:sz w:val="32"/>
          <w:szCs w:val="32"/>
          <w:highlight w:val="none"/>
          <w:shd w:val="clear" w:color="auto" w:fill="FFFFFF"/>
          <w:lang w:val="en-US"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zh-CN" w:eastAsia="zh-CN"/>
        </w:rPr>
        <w:t>三</w:t>
      </w:r>
      <w:r>
        <w:rPr>
          <w:rFonts w:hint="default" w:ascii="Times New Roman" w:hAnsi="Times New Roman" w:eastAsia="楷体_GB2312" w:cs="Times New Roman"/>
          <w:b/>
          <w:bCs/>
          <w:color w:val="auto"/>
          <w:kern w:val="0"/>
          <w:sz w:val="32"/>
          <w:szCs w:val="32"/>
          <w:highlight w:val="none"/>
          <w:shd w:val="clear" w:color="auto" w:fill="FFFFFF"/>
          <w:lang w:val="zh-CN" w:eastAsia="zh-CN"/>
        </w:rPr>
        <w:t>）</w:t>
      </w:r>
      <w:r>
        <w:rPr>
          <w:rFonts w:hint="default" w:ascii="Times New Roman" w:hAnsi="Times New Roman" w:eastAsia="楷体_GB2312" w:cs="Times New Roman"/>
          <w:b/>
          <w:bCs/>
          <w:color w:val="auto"/>
          <w:kern w:val="0"/>
          <w:sz w:val="32"/>
          <w:szCs w:val="32"/>
          <w:highlight w:val="none"/>
          <w:shd w:val="clear" w:color="auto" w:fill="FFFFFF"/>
          <w:lang w:val="en-US" w:eastAsia="zh-CN"/>
        </w:rPr>
        <w:t>结余分配和结转结余情况</w:t>
      </w:r>
      <w:r>
        <w:rPr>
          <w:rFonts w:hint="eastAsia" w:ascii="Times New Roman" w:hAnsi="Times New Roman" w:eastAsia="楷体_GB2312" w:cs="Times New Roman"/>
          <w:b/>
          <w:bCs/>
          <w:color w:val="auto"/>
          <w:kern w:val="0"/>
          <w:sz w:val="32"/>
          <w:szCs w:val="32"/>
          <w:highlight w:val="none"/>
          <w:shd w:val="clear" w:color="auto" w:fill="FFFFFF"/>
          <w:lang w:val="en-US" w:eastAsia="zh-CN"/>
        </w:rPr>
        <w:t>。</w:t>
      </w:r>
    </w:p>
    <w:p w14:paraId="44C250D7">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本单位2023年决算报表无结转结余情况。</w:t>
      </w:r>
    </w:p>
    <w:p w14:paraId="3B49D081">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contextualSpacing/>
        <w:jc w:val="both"/>
        <w:textAlignment w:val="auto"/>
        <w:outlineLvl w:val="9"/>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en-US" w:eastAsia="zh-CN"/>
        </w:rPr>
        <w:t>三、部门预算绩效分析</w:t>
      </w:r>
    </w:p>
    <w:p w14:paraId="384ED623">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（一）</w:t>
      </w:r>
      <w:r>
        <w:rPr>
          <w:rFonts w:hint="eastAsia" w:ascii="Times New Roman" w:hAnsi="Times New Roman" w:eastAsia="楷体_GB2312" w:cs="Times New Roman"/>
          <w:b/>
          <w:bCs/>
          <w:color w:val="auto"/>
          <w:kern w:val="0"/>
          <w:sz w:val="32"/>
          <w:szCs w:val="32"/>
          <w:highlight w:val="none"/>
          <w:shd w:val="clear" w:color="auto" w:fill="FFFFFF"/>
          <w:lang w:val="zh-CN" w:eastAsia="zh-CN"/>
        </w:rPr>
        <w:t>部门预算</w:t>
      </w:r>
      <w:r>
        <w:rPr>
          <w:rFonts w:hint="default" w:ascii="Times New Roman" w:hAnsi="Times New Roman" w:eastAsia="楷体_GB2312" w:cs="Times New Roman"/>
          <w:b/>
          <w:bCs/>
          <w:color w:val="auto"/>
          <w:kern w:val="0"/>
          <w:sz w:val="32"/>
          <w:szCs w:val="32"/>
          <w:highlight w:val="none"/>
          <w:shd w:val="clear" w:color="auto" w:fill="FFFFFF"/>
          <w:lang w:val="zh-CN" w:eastAsia="zh-CN"/>
        </w:rPr>
        <w:t>总体绩效分析。</w:t>
      </w:r>
    </w:p>
    <w:p w14:paraId="17E651A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履职效能。</w:t>
      </w:r>
    </w:p>
    <w:p w14:paraId="00FD69C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2023年，管理局以习近平新时代中国特色社会主义思想为指导，紧紧围绕州委州政府“一州两区三家园”战略目标，立足“冰川彩林国际旅游目的地”建设，坚持“聚人气、创品牌，精服务、强管理，抓创建、塑形象”的发展定力，扎实有效推动景区各项工作，确保了景区安全平稳有序，游客接待人次和直接收入实现“双突破”。</w:t>
      </w:r>
    </w:p>
    <w:p w14:paraId="65E7A03B">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一是强化生态资源保护，严守生态保护红线。聚焦“保护生态的完整性、稳定性、和谐性”，认真践行“重在保护、要在治理、高质量发展”理念，扎实开展生态资源保护，实现可持续发展。</w:t>
      </w:r>
    </w:p>
    <w:p w14:paraId="0D6D340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二是扎实推进品牌建设，促进景区提档升级。立足景区生态资源优势，以擦亮“大冰川”品牌为主线，以建设“冰川彩林国际旅游目的地”为目标，狠抓景区规划建设和品牌创建，助推景区“二次提升”。</w:t>
      </w:r>
    </w:p>
    <w:p w14:paraId="5BB4744F">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三是强化立体营销攻势，加快疫后市场回暖。以“快速恢复疫后客源市场，加快提升名气人气”为目标，立足资源优势，围绕“潮玩达古”年度营销主题，扎实开展产品线路优化和宣传营销工作，实现旅游接待人次和收入“双增长”。</w:t>
      </w:r>
    </w:p>
    <w:p w14:paraId="0485D382">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四是优化游客服务措施，有效保障游客权益。以旅游安全为基点，以保障游客权益为宗旨，坚持一线服务和人性化服务，全力推动景区平安、和谐发展。</w:t>
      </w:r>
    </w:p>
    <w:p w14:paraId="231A525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五是扎实推进全面从严治党，全力营造良好政治生态。牢固树立“抓党建促发展”理念，以党的政治建设为统领，扎实抓好党的思想、队伍、组织、作风和反腐败建设，为推进冰川旅游高质量发展提供坚强保障。</w:t>
      </w:r>
    </w:p>
    <w:p w14:paraId="23EB8BE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综上，</w:t>
      </w:r>
      <w:r>
        <w:rPr>
          <w:rFonts w:hint="eastAsia" w:ascii="仿宋_GB2312" w:hAnsi="仿宋_GB2312" w:eastAsia="仿宋_GB2312" w:cs="仿宋_GB2312"/>
          <w:b w:val="0"/>
          <w:bCs w:val="0"/>
          <w:color w:val="000000"/>
          <w:sz w:val="31"/>
          <w:szCs w:val="31"/>
          <w:lang w:val="zh-CN" w:eastAsia="zh-CN"/>
        </w:rPr>
        <w:t>2023年度本单位圆满完成了单位年度任务。故此项得15分。</w:t>
      </w:r>
    </w:p>
    <w:p w14:paraId="29F7B871">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2.</w:t>
      </w:r>
      <w:r>
        <w:rPr>
          <w:rFonts w:hint="default" w:ascii="仿宋_GB2312" w:hAnsi="仿宋_GB2312" w:eastAsia="仿宋_GB2312" w:cs="仿宋_GB2312"/>
          <w:b w:val="0"/>
          <w:bCs w:val="0"/>
          <w:color w:val="000000"/>
          <w:sz w:val="31"/>
          <w:szCs w:val="31"/>
          <w:lang w:val="zh-CN" w:eastAsia="zh-CN"/>
        </w:rPr>
        <w:t>预算管理</w:t>
      </w:r>
      <w:r>
        <w:rPr>
          <w:rFonts w:hint="eastAsia" w:ascii="仿宋_GB2312" w:hAnsi="仿宋_GB2312" w:eastAsia="仿宋_GB2312" w:cs="仿宋_GB2312"/>
          <w:b w:val="0"/>
          <w:bCs w:val="0"/>
          <w:color w:val="000000"/>
          <w:sz w:val="31"/>
          <w:szCs w:val="31"/>
          <w:lang w:val="zh-CN" w:eastAsia="zh-CN"/>
        </w:rPr>
        <w:t>。</w:t>
      </w:r>
    </w:p>
    <w:p w14:paraId="6C267D35">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预算编制质量</w:t>
      </w:r>
    </w:p>
    <w:p w14:paraId="2F73498D">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根据预算报表和决算报表，2023年本单位年初预算数3814.59万元，全年预算执行数为3735.21万元。</w:t>
      </w:r>
      <w:r>
        <w:rPr>
          <w:rFonts w:hint="eastAsia" w:ascii="仿宋_GB2312" w:hAnsi="仿宋_GB2312" w:eastAsia="仿宋_GB2312" w:cs="仿宋_GB2312"/>
          <w:b w:val="0"/>
          <w:bCs w:val="0"/>
          <w:color w:val="000000"/>
          <w:sz w:val="31"/>
          <w:szCs w:val="31"/>
          <w:lang w:val="zh-CN" w:eastAsia="zh-CN"/>
        </w:rPr>
        <w:t>财政拨款偏离度=|预算执行数3735.21万元-年初预算数3814.59万元|÷年初预算数3814.59万元=2.08%；</w:t>
      </w:r>
    </w:p>
    <w:p w14:paraId="0E51929D">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根据2023年资产配置全年执行表，2023年本单位办公设备购置年初预算20万元，全年预算执行数20.52万元。</w:t>
      </w:r>
      <w:r>
        <w:rPr>
          <w:rFonts w:hint="eastAsia" w:ascii="仿宋_GB2312" w:hAnsi="仿宋_GB2312" w:eastAsia="仿宋_GB2312" w:cs="仿宋_GB2312"/>
          <w:b w:val="0"/>
          <w:bCs w:val="0"/>
          <w:color w:val="000000"/>
          <w:sz w:val="31"/>
          <w:szCs w:val="31"/>
          <w:lang w:val="zh-CN" w:eastAsia="zh-CN"/>
        </w:rPr>
        <w:t>资产配置预算偏离度=|预算执行数20.52万元-年初预算数20万元|÷年初预算数20万元=2.60%；</w:t>
      </w:r>
    </w:p>
    <w:p w14:paraId="3437241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根据政府采购情况表和决算报表，2023年本单位安排政府采购预算437.83万元，预算执行数310.58万元，</w:t>
      </w:r>
      <w:r>
        <w:rPr>
          <w:rFonts w:hint="eastAsia" w:ascii="仿宋_GB2312" w:hAnsi="仿宋_GB2312" w:eastAsia="仿宋_GB2312" w:cs="仿宋_GB2312"/>
          <w:b w:val="0"/>
          <w:bCs w:val="0"/>
          <w:color w:val="000000"/>
          <w:sz w:val="31"/>
          <w:szCs w:val="31"/>
          <w:lang w:val="zh-CN" w:eastAsia="zh-CN"/>
        </w:rPr>
        <w:t>政府采购偏离度</w:t>
      </w:r>
      <w:r>
        <w:rPr>
          <w:rFonts w:hint="eastAsia" w:ascii="仿宋_GB2312" w:hAnsi="仿宋_GB2312" w:eastAsia="仿宋_GB2312" w:cs="仿宋_GB2312"/>
          <w:b w:val="0"/>
          <w:bCs w:val="0"/>
          <w:color w:val="000000"/>
          <w:sz w:val="31"/>
          <w:szCs w:val="31"/>
          <w:lang w:val="en-US" w:eastAsia="zh-CN"/>
        </w:rPr>
        <w:t>=|预算执行数310.58万元-年初预算数437.83万元|÷年初预算数437.83万元=29.06%，其主要原因为景区旅游策划费预算为200万元，中标金额为150万元。</w:t>
      </w:r>
    </w:p>
    <w:p w14:paraId="024FA36D">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综上，根据评分标准，该项指标扣</w:t>
      </w:r>
      <w:r>
        <w:rPr>
          <w:rFonts w:hint="eastAsia" w:ascii="仿宋_GB2312" w:hAnsi="仿宋_GB2312" w:eastAsia="仿宋_GB2312" w:cs="仿宋_GB2312"/>
          <w:b w:val="0"/>
          <w:bCs w:val="0"/>
          <w:color w:val="000000"/>
          <w:sz w:val="31"/>
          <w:szCs w:val="31"/>
          <w:lang w:val="en-US" w:eastAsia="zh-CN"/>
        </w:rPr>
        <w:t>0.72</w:t>
      </w:r>
      <w:r>
        <w:rPr>
          <w:rFonts w:hint="eastAsia" w:ascii="仿宋_GB2312" w:hAnsi="仿宋_GB2312" w:eastAsia="仿宋_GB2312" w:cs="仿宋_GB2312"/>
          <w:b w:val="0"/>
          <w:bCs w:val="0"/>
          <w:color w:val="000000"/>
          <w:sz w:val="31"/>
          <w:szCs w:val="31"/>
          <w:lang w:val="zh-CN" w:eastAsia="zh-CN"/>
        </w:rPr>
        <w:t>分，得</w:t>
      </w:r>
      <w:r>
        <w:rPr>
          <w:rFonts w:hint="eastAsia" w:ascii="仿宋_GB2312" w:hAnsi="仿宋_GB2312" w:eastAsia="仿宋_GB2312" w:cs="仿宋_GB2312"/>
          <w:b w:val="0"/>
          <w:bCs w:val="0"/>
          <w:color w:val="000000"/>
          <w:sz w:val="31"/>
          <w:szCs w:val="31"/>
          <w:lang w:val="en-US" w:eastAsia="zh-CN"/>
        </w:rPr>
        <w:t>7.28</w:t>
      </w:r>
      <w:r>
        <w:rPr>
          <w:rFonts w:hint="eastAsia" w:ascii="仿宋_GB2312" w:hAnsi="仿宋_GB2312" w:eastAsia="仿宋_GB2312" w:cs="仿宋_GB2312"/>
          <w:b w:val="0"/>
          <w:bCs w:val="0"/>
          <w:color w:val="000000"/>
          <w:sz w:val="31"/>
          <w:szCs w:val="31"/>
          <w:lang w:val="zh-CN" w:eastAsia="zh-CN"/>
        </w:rPr>
        <w:t>分。</w:t>
      </w:r>
    </w:p>
    <w:p w14:paraId="60C8A150">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2</w:t>
      </w:r>
      <w:r>
        <w:rPr>
          <w:rFonts w:hint="eastAsia" w:ascii="仿宋_GB2312" w:hAnsi="仿宋_GB2312" w:eastAsia="仿宋_GB2312" w:cs="仿宋_GB2312"/>
          <w:b w:val="0"/>
          <w:bCs w:val="0"/>
          <w:color w:val="000000"/>
          <w:sz w:val="31"/>
          <w:szCs w:val="31"/>
          <w:lang w:val="zh-CN" w:eastAsia="zh-CN"/>
        </w:rPr>
        <w:t>）单位收入统筹</w:t>
      </w:r>
    </w:p>
    <w:p w14:paraId="40735CF0">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部门未有自有收入，不涉及单位收入统筹。</w:t>
      </w:r>
    </w:p>
    <w:p w14:paraId="61C2A883">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w:t>
      </w:r>
      <w:r>
        <w:rPr>
          <w:rFonts w:hint="eastAsia" w:ascii="仿宋_GB2312" w:hAnsi="仿宋_GB2312" w:eastAsia="仿宋_GB2312" w:cs="仿宋_GB2312"/>
          <w:b w:val="0"/>
          <w:bCs w:val="0"/>
          <w:color w:val="000000"/>
          <w:sz w:val="31"/>
          <w:szCs w:val="31"/>
          <w:lang w:val="en-US" w:eastAsia="zh-CN"/>
        </w:rPr>
        <w:t>4</w:t>
      </w:r>
      <w:r>
        <w:rPr>
          <w:rFonts w:hint="eastAsia" w:ascii="仿宋_GB2312" w:hAnsi="仿宋_GB2312" w:eastAsia="仿宋_GB2312" w:cs="仿宋_GB2312"/>
          <w:b w:val="0"/>
          <w:bCs w:val="0"/>
          <w:color w:val="000000"/>
          <w:sz w:val="31"/>
          <w:szCs w:val="31"/>
          <w:lang w:val="zh-CN" w:eastAsia="zh-CN"/>
        </w:rPr>
        <w:t>分。</w:t>
      </w:r>
    </w:p>
    <w:p w14:paraId="016A3F45">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（3）支出执行进度</w:t>
      </w:r>
    </w:p>
    <w:p w14:paraId="7D77F8EF">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根据1-6月可执行情况表，本单位1至6月预算执行数为1482.88万元；根据决算报表，年初预算数为3814.59万元；根据1-6月支付预警红色预警查询表，1至6月支出预警金额61.77万元，占比为4.17%，其主要原因为拨单位解缴长期临时工社保费；1至6月无支出违规金额。</w:t>
      </w:r>
    </w:p>
    <w:p w14:paraId="45F20AB7">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根据1-10月可执行情况表，1至10月预算执行数为2711.42万元；根据决算报表，年初预算数为3814.59万元；根据1-10月支付预警红色预警查询表，1至10月支出预警金额61.77万元，占比为2.28%，其主要原因为拨单位解缴长期临时工社保费；1至6月无支出违规金额。</w:t>
      </w:r>
    </w:p>
    <w:p w14:paraId="5EE4225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综上，根据评分标准，该项指标扣0.79分，得5.21分。</w:t>
      </w:r>
    </w:p>
    <w:p w14:paraId="33D0F43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（4）预算年终结余</w:t>
      </w:r>
    </w:p>
    <w:p w14:paraId="61B8B8FB">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w:t>
      </w:r>
      <w:r>
        <w:rPr>
          <w:rFonts w:hint="default" w:ascii="仿宋_GB2312" w:hAnsi="仿宋_GB2312" w:eastAsia="仿宋_GB2312" w:cs="仿宋_GB2312"/>
          <w:b w:val="0"/>
          <w:bCs w:val="0"/>
          <w:color w:val="000000"/>
          <w:sz w:val="31"/>
          <w:szCs w:val="31"/>
          <w:lang w:val="en-US" w:eastAsia="zh-CN"/>
        </w:rPr>
        <w:t>预算总金额为</w:t>
      </w:r>
      <w:r>
        <w:rPr>
          <w:rFonts w:hint="eastAsia" w:ascii="仿宋_GB2312" w:hAnsi="仿宋_GB2312" w:eastAsia="仿宋_GB2312" w:cs="仿宋_GB2312"/>
          <w:b w:val="0"/>
          <w:bCs w:val="0"/>
          <w:color w:val="000000"/>
          <w:sz w:val="31"/>
          <w:szCs w:val="31"/>
          <w:lang w:val="en-US" w:eastAsia="zh-CN"/>
        </w:rPr>
        <w:t>0.00</w:t>
      </w:r>
      <w:r>
        <w:rPr>
          <w:rFonts w:hint="default" w:ascii="仿宋_GB2312" w:hAnsi="仿宋_GB2312" w:eastAsia="仿宋_GB2312" w:cs="仿宋_GB2312"/>
          <w:b w:val="0"/>
          <w:bCs w:val="0"/>
          <w:color w:val="000000"/>
          <w:sz w:val="31"/>
          <w:szCs w:val="31"/>
          <w:lang w:val="en-US" w:eastAsia="zh-CN"/>
        </w:rPr>
        <w:t>万元，年终部门预算注销金额为</w:t>
      </w:r>
      <w:r>
        <w:rPr>
          <w:rFonts w:hint="eastAsia" w:ascii="仿宋_GB2312" w:hAnsi="仿宋_GB2312" w:eastAsia="仿宋_GB2312" w:cs="仿宋_GB2312"/>
          <w:b w:val="0"/>
          <w:bCs w:val="0"/>
          <w:color w:val="000000"/>
          <w:sz w:val="31"/>
          <w:szCs w:val="31"/>
          <w:lang w:val="en-US" w:eastAsia="zh-CN"/>
        </w:rPr>
        <w:t>0.00</w:t>
      </w:r>
      <w:r>
        <w:rPr>
          <w:rFonts w:hint="default" w:ascii="仿宋_GB2312" w:hAnsi="仿宋_GB2312" w:eastAsia="仿宋_GB2312" w:cs="仿宋_GB2312"/>
          <w:b w:val="0"/>
          <w:bCs w:val="0"/>
          <w:color w:val="000000"/>
          <w:sz w:val="31"/>
          <w:szCs w:val="31"/>
          <w:lang w:val="en-US" w:eastAsia="zh-CN"/>
        </w:rPr>
        <w:t>万元，结转金额0.00万元</w:t>
      </w:r>
      <w:r>
        <w:rPr>
          <w:rFonts w:hint="eastAsia" w:ascii="仿宋_GB2312" w:hAnsi="仿宋_GB2312" w:eastAsia="仿宋_GB2312" w:cs="仿宋_GB2312"/>
          <w:b w:val="0"/>
          <w:bCs w:val="0"/>
          <w:color w:val="000000"/>
          <w:sz w:val="31"/>
          <w:szCs w:val="31"/>
          <w:lang w:val="en-US" w:eastAsia="zh-CN"/>
        </w:rPr>
        <w:t>。</w:t>
      </w:r>
    </w:p>
    <w:p w14:paraId="5E5A84A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default" w:ascii="仿宋_GB2312" w:hAnsi="仿宋_GB2312" w:eastAsia="仿宋_GB2312" w:cs="仿宋_GB2312"/>
          <w:b w:val="0"/>
          <w:bCs w:val="0"/>
          <w:color w:val="000000"/>
          <w:sz w:val="31"/>
          <w:szCs w:val="31"/>
          <w:lang w:val="en-US" w:eastAsia="zh-CN"/>
        </w:rPr>
        <w:t>综上，根据评分标准，该项指标不扣分，得2分。</w:t>
      </w:r>
    </w:p>
    <w:p w14:paraId="4EA2069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（4）严控一般性支出</w:t>
      </w:r>
    </w:p>
    <w:p w14:paraId="7D2778D2">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本单位“三公”经费、会议、培训、差旅、办节办展、办公设备购置、信息网络及软件购置更新、课题经费等8项一般性支出情况详见下表3-1。</w:t>
      </w:r>
    </w:p>
    <w:p w14:paraId="7C26B775">
      <w:pPr>
        <w:keepNext w:val="0"/>
        <w:keepLines w:val="0"/>
        <w:pageBreakBefore w:val="0"/>
        <w:widowControl/>
        <w:kinsoku/>
        <w:wordWrap/>
        <w:overflowPunct/>
        <w:topLinePunct w:val="0"/>
        <w:autoSpaceDE/>
        <w:autoSpaceDN/>
        <w:bidi w:val="0"/>
        <w:adjustRightInd w:val="0"/>
        <w:snapToGrid w:val="0"/>
        <w:spacing w:line="440" w:lineRule="exact"/>
        <w:contextualSpacing/>
        <w:jc w:val="center"/>
        <w:textAlignment w:val="auto"/>
        <w:outlineLvl w:val="9"/>
        <w:rPr>
          <w:rFonts w:hint="eastAsia" w:ascii="仿宋_GB2312" w:hAnsi="仿宋_GB2312" w:eastAsia="仿宋_GB2312" w:cs="仿宋_GB2312"/>
          <w:b/>
          <w:bCs/>
          <w:color w:val="000000"/>
          <w:sz w:val="31"/>
          <w:szCs w:val="31"/>
          <w:lang w:val="en-US" w:eastAsia="zh-CN"/>
        </w:rPr>
      </w:pPr>
      <w:r>
        <w:rPr>
          <w:rFonts w:hint="eastAsia" w:ascii="仿宋_GB2312" w:hAnsi="仿宋_GB2312" w:eastAsia="仿宋_GB2312" w:cs="仿宋_GB2312"/>
          <w:b/>
          <w:bCs/>
          <w:color w:val="000000"/>
          <w:sz w:val="31"/>
          <w:szCs w:val="31"/>
          <w:lang w:val="en-US" w:eastAsia="zh-CN"/>
        </w:rPr>
        <w:t>表</w:t>
      </w:r>
      <w:r>
        <w:rPr>
          <w:rFonts w:hint="default" w:ascii="仿宋_GB2312" w:hAnsi="仿宋_GB2312" w:eastAsia="仿宋_GB2312" w:cs="仿宋_GB2312"/>
          <w:b/>
          <w:bCs/>
          <w:color w:val="000000"/>
          <w:sz w:val="31"/>
          <w:szCs w:val="31"/>
          <w:lang w:val="en-US" w:eastAsia="zh-CN"/>
        </w:rPr>
        <w:t xml:space="preserve">3-1 </w:t>
      </w:r>
      <w:r>
        <w:rPr>
          <w:rFonts w:hint="eastAsia" w:ascii="仿宋_GB2312" w:hAnsi="仿宋_GB2312" w:eastAsia="仿宋_GB2312" w:cs="仿宋_GB2312"/>
          <w:b/>
          <w:bCs/>
          <w:color w:val="000000"/>
          <w:sz w:val="31"/>
          <w:szCs w:val="31"/>
          <w:lang w:val="en-US" w:eastAsia="zh-CN"/>
        </w:rPr>
        <w:t>一般性支出情况表</w:t>
      </w:r>
    </w:p>
    <w:p w14:paraId="762E837E">
      <w:pPr>
        <w:keepNext w:val="0"/>
        <w:keepLines w:val="0"/>
        <w:pageBreakBefore w:val="0"/>
        <w:widowControl/>
        <w:kinsoku/>
        <w:wordWrap/>
        <w:overflowPunct/>
        <w:topLinePunct w:val="0"/>
        <w:autoSpaceDE/>
        <w:autoSpaceDN/>
        <w:bidi w:val="0"/>
        <w:adjustRightInd w:val="0"/>
        <w:snapToGrid w:val="0"/>
        <w:spacing w:line="440" w:lineRule="exact"/>
        <w:contextualSpacing/>
        <w:jc w:val="right"/>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bCs/>
          <w:color w:val="000000"/>
          <w:sz w:val="31"/>
          <w:szCs w:val="31"/>
          <w:lang w:val="en-US" w:eastAsia="zh-CN"/>
        </w:rPr>
        <w:t>单位：万元</w:t>
      </w:r>
    </w:p>
    <w:p w14:paraId="76AE65DB">
      <w:pPr>
        <w:keepNext w:val="0"/>
        <w:keepLines w:val="0"/>
        <w:pageBreakBefore w:val="0"/>
        <w:widowControl/>
        <w:kinsoku/>
        <w:wordWrap/>
        <w:overflowPunct/>
        <w:topLinePunct w:val="0"/>
        <w:autoSpaceDE/>
        <w:autoSpaceDN/>
        <w:bidi w:val="0"/>
        <w:adjustRightInd w:val="0"/>
        <w:snapToGrid w:val="0"/>
        <w:spacing w:line="440" w:lineRule="exact"/>
        <w:contextualSpacing/>
        <w:jc w:val="center"/>
        <w:textAlignment w:val="auto"/>
        <w:outlineLvl w:val="9"/>
        <w:rPr>
          <w:rFonts w:hint="eastAsia" w:ascii="仿宋_GB2312" w:hAnsi="仿宋_GB2312" w:eastAsia="仿宋_GB2312" w:cs="仿宋_GB2312"/>
          <w:b/>
          <w:bCs/>
          <w:color w:val="000000"/>
          <w:sz w:val="31"/>
          <w:szCs w:val="31"/>
          <w:lang w:val="en-US" w:eastAsia="zh-CN"/>
        </w:rPr>
      </w:pPr>
    </w:p>
    <w:tbl>
      <w:tblPr>
        <w:tblStyle w:val="18"/>
        <w:tblW w:w="9870" w:type="dxa"/>
        <w:tblInd w:w="-3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56"/>
        <w:gridCol w:w="1523"/>
        <w:gridCol w:w="1554"/>
        <w:gridCol w:w="1360"/>
        <w:gridCol w:w="1131"/>
        <w:gridCol w:w="1461"/>
        <w:gridCol w:w="1461"/>
        <w:gridCol w:w="824"/>
      </w:tblGrid>
      <w:tr w14:paraId="73006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95" w:hRule="atLeast"/>
        </w:trPr>
        <w:tc>
          <w:tcPr>
            <w:tcW w:w="55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5F71B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序号</w:t>
            </w:r>
          </w:p>
        </w:tc>
        <w:tc>
          <w:tcPr>
            <w:tcW w:w="152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C64BAB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项目名称</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2DEC14B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2022</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年度</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182BFAC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2023</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年度</w:t>
            </w:r>
          </w:p>
        </w:tc>
        <w:tc>
          <w:tcPr>
            <w:tcW w:w="11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5FD42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变动情况</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5121381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2022</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年度</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5C74D6F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2023</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年度</w:t>
            </w:r>
          </w:p>
        </w:tc>
        <w:tc>
          <w:tcPr>
            <w:tcW w:w="8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B26DB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变动情况</w:t>
            </w:r>
          </w:p>
        </w:tc>
      </w:tr>
      <w:tr w14:paraId="60EC7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556" w:type="dxa"/>
            <w:vMerge w:val="continue"/>
            <w:tcBorders>
              <w:top w:val="single" w:color="auto" w:sz="4" w:space="0"/>
              <w:left w:val="single" w:color="auto" w:sz="4" w:space="0"/>
              <w:bottom w:val="single" w:color="auto" w:sz="4" w:space="0"/>
              <w:right w:val="single" w:color="auto" w:sz="4" w:space="0"/>
            </w:tcBorders>
            <w:shd w:val="clear" w:color="auto" w:fill="D7D7D7"/>
            <w:vAlign w:val="center"/>
          </w:tcPr>
          <w:p w14:paraId="6F7732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p>
        </w:tc>
        <w:tc>
          <w:tcPr>
            <w:tcW w:w="1523" w:type="dxa"/>
            <w:vMerge w:val="continue"/>
            <w:tcBorders>
              <w:top w:val="single" w:color="auto" w:sz="4" w:space="0"/>
              <w:left w:val="single" w:color="auto" w:sz="4" w:space="0"/>
              <w:bottom w:val="single" w:color="auto" w:sz="4" w:space="0"/>
              <w:right w:val="single" w:color="auto" w:sz="4" w:space="0"/>
            </w:tcBorders>
            <w:shd w:val="clear" w:color="auto" w:fill="D7D7D7"/>
            <w:vAlign w:val="center"/>
          </w:tcPr>
          <w:p w14:paraId="0EA44CE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38608A0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财政拨款年初预算数</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3EFC39C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财政拨款年初预算数</w:t>
            </w:r>
          </w:p>
        </w:tc>
        <w:tc>
          <w:tcPr>
            <w:tcW w:w="113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B3B71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63C71AC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财政拨款预算执行数</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493BA39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财政拨款预算执行数</w:t>
            </w:r>
          </w:p>
        </w:tc>
        <w:tc>
          <w:tcPr>
            <w:tcW w:w="824" w:type="dxa"/>
            <w:vMerge w:val="continue"/>
            <w:tcBorders>
              <w:top w:val="single" w:color="auto" w:sz="4" w:space="0"/>
              <w:left w:val="single" w:color="auto" w:sz="4" w:space="0"/>
              <w:bottom w:val="single" w:color="auto" w:sz="4" w:space="0"/>
              <w:right w:val="single" w:color="auto" w:sz="4" w:space="0"/>
            </w:tcBorders>
            <w:shd w:val="clear" w:color="auto" w:fill="D7D7D7"/>
            <w:vAlign w:val="center"/>
          </w:tcPr>
          <w:p w14:paraId="3379F69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p>
        </w:tc>
      </w:tr>
      <w:tr w14:paraId="47C94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1639745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1</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7F2CE32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三公</w:t>
            </w: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2E304A2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196.03</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4A18084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184.28</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5B967A9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减少</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357E690E">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eastAsia="Times New Roman Regular" w:cs="Times New Roman Regular"/>
                <w:color w:val="auto"/>
                <w:kern w:val="0"/>
                <w:sz w:val="22"/>
                <w:szCs w:val="22"/>
                <w:shd w:val="clear" w:fill="FFFFFF"/>
                <w:lang w:val="en-US" w:eastAsia="zh-CN" w:bidi="ar"/>
              </w:rPr>
              <w:t>148.43</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3D2E1261">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eastAsia="Times New Roman Regular" w:cs="Times New Roman Regular"/>
                <w:color w:val="auto"/>
                <w:kern w:val="0"/>
                <w:sz w:val="22"/>
                <w:szCs w:val="22"/>
                <w:shd w:val="clear" w:fill="FFFFFF"/>
                <w:lang w:val="en-US" w:eastAsia="zh-CN" w:bidi="ar"/>
              </w:rPr>
              <w:t>220.75</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67FC253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增加</w:t>
            </w:r>
          </w:p>
        </w:tc>
      </w:tr>
      <w:tr w14:paraId="4B9D9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079EA59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5EB4750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会议经费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63560F3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5698431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7ABE411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2891E463">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0.35</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4E90F2C0">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712C8E6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减少</w:t>
            </w:r>
          </w:p>
        </w:tc>
      </w:tr>
      <w:tr w14:paraId="1693F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1D6C5BA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3</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49DE1B7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培训经费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668FC13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39.87</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3758C2B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49.45</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7DEB5E3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增加</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3E35302C">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5.99</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5269E0E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29.89</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485EFC4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增加</w:t>
            </w:r>
          </w:p>
        </w:tc>
      </w:tr>
      <w:tr w14:paraId="66FC0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5EDDCF7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4</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3B9D0DF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差旅经费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5CBA5EB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45.74</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1076C66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45.74</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57A5DEE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6C5BBB8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57.00</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349DBED8">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83.01</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1C0AEB7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增加</w:t>
            </w:r>
          </w:p>
        </w:tc>
      </w:tr>
      <w:tr w14:paraId="58932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673FE0A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5</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397340E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办节办展</w:t>
            </w:r>
          </w:p>
          <w:p w14:paraId="206F123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0A358B4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6851951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2F23DC1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50B88C95">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7C5696B9">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12A2C52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r>
      <w:tr w14:paraId="378D6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46829B5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6</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2A580ED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办公设备</w:t>
            </w:r>
          </w:p>
          <w:p w14:paraId="4200667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购置经费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07A0926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3F76073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20.0</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0D0D5EE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增加</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4F153A9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5F07A8CF">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2B5436E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r>
      <w:tr w14:paraId="21DD2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3437E06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7</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707F0B1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信息网络及软件购置更新经费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060DCD2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06B14CC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4995850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2FA8C64A">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20D981B1">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0C96C8F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r>
      <w:tr w14:paraId="06D8A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0481D3C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8</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013EDD9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课题经费</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0EE3A37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6C48206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6D72DFE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48C7A29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4AECE7C3">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440" w:lineRule="exact"/>
              <w:ind w:left="0" w:leftChars="0" w:right="0" w:rightChars="0"/>
              <w:contextualSpacing w:val="0"/>
              <w:jc w:val="cente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2A453E0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持平</w:t>
            </w:r>
          </w:p>
        </w:tc>
      </w:tr>
      <w:tr w14:paraId="0E161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tcBorders>
              <w:top w:val="single" w:color="auto" w:sz="4" w:space="0"/>
              <w:left w:val="single" w:color="auto" w:sz="4" w:space="0"/>
              <w:bottom w:val="single" w:color="auto" w:sz="4" w:space="0"/>
              <w:right w:val="single" w:color="auto" w:sz="4" w:space="0"/>
            </w:tcBorders>
            <w:shd w:val="clear" w:color="auto" w:fill="auto"/>
            <w:vAlign w:val="center"/>
          </w:tcPr>
          <w:p w14:paraId="0FE68EF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9</w:t>
            </w:r>
          </w:p>
        </w:tc>
        <w:tc>
          <w:tcPr>
            <w:tcW w:w="1523" w:type="dxa"/>
            <w:tcBorders>
              <w:top w:val="single" w:color="auto" w:sz="4" w:space="0"/>
              <w:left w:val="single" w:color="auto" w:sz="4" w:space="0"/>
              <w:bottom w:val="single" w:color="auto" w:sz="4" w:space="0"/>
              <w:right w:val="single" w:color="auto" w:sz="4" w:space="0"/>
            </w:tcBorders>
            <w:shd w:val="clear" w:color="auto" w:fill="auto"/>
            <w:vAlign w:val="center"/>
          </w:tcPr>
          <w:p w14:paraId="3308C06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合计</w:t>
            </w:r>
          </w:p>
        </w:tc>
        <w:tc>
          <w:tcPr>
            <w:tcW w:w="1554" w:type="dxa"/>
            <w:tcBorders>
              <w:top w:val="single" w:color="auto" w:sz="4" w:space="0"/>
              <w:left w:val="single" w:color="auto" w:sz="4" w:space="0"/>
              <w:bottom w:val="single" w:color="auto" w:sz="4" w:space="0"/>
              <w:right w:val="single" w:color="auto" w:sz="4" w:space="0"/>
            </w:tcBorders>
            <w:shd w:val="clear" w:color="auto" w:fill="auto"/>
            <w:vAlign w:val="center"/>
          </w:tcPr>
          <w:p w14:paraId="3B70D0C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281.64</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center"/>
          </w:tcPr>
          <w:p w14:paraId="51214F0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299.48</w:t>
            </w:r>
          </w:p>
        </w:tc>
        <w:tc>
          <w:tcPr>
            <w:tcW w:w="1131" w:type="dxa"/>
            <w:tcBorders>
              <w:top w:val="single" w:color="auto" w:sz="4" w:space="0"/>
              <w:left w:val="single" w:color="auto" w:sz="4" w:space="0"/>
              <w:bottom w:val="single" w:color="auto" w:sz="4" w:space="0"/>
              <w:right w:val="single" w:color="auto" w:sz="4" w:space="0"/>
            </w:tcBorders>
            <w:shd w:val="clear" w:color="auto" w:fill="auto"/>
            <w:vAlign w:val="center"/>
          </w:tcPr>
          <w:p w14:paraId="629AAF3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增加</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238BE7E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211.77</w:t>
            </w:r>
          </w:p>
        </w:tc>
        <w:tc>
          <w:tcPr>
            <w:tcW w:w="1461" w:type="dxa"/>
            <w:tcBorders>
              <w:top w:val="single" w:color="auto" w:sz="4" w:space="0"/>
              <w:left w:val="single" w:color="auto" w:sz="4" w:space="0"/>
              <w:bottom w:val="single" w:color="auto" w:sz="4" w:space="0"/>
              <w:right w:val="single" w:color="auto" w:sz="4" w:space="0"/>
            </w:tcBorders>
            <w:shd w:val="clear" w:color="auto" w:fill="auto"/>
            <w:vAlign w:val="center"/>
          </w:tcPr>
          <w:p w14:paraId="1A7ED71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333.65</w:t>
            </w:r>
          </w:p>
        </w:tc>
        <w:tc>
          <w:tcPr>
            <w:tcW w:w="824" w:type="dxa"/>
            <w:tcBorders>
              <w:top w:val="single" w:color="auto" w:sz="4" w:space="0"/>
              <w:left w:val="single" w:color="auto" w:sz="4" w:space="0"/>
              <w:bottom w:val="single" w:color="auto" w:sz="4" w:space="0"/>
              <w:right w:val="single" w:color="auto" w:sz="4" w:space="0"/>
            </w:tcBorders>
            <w:shd w:val="clear" w:color="auto" w:fill="auto"/>
            <w:vAlign w:val="center"/>
          </w:tcPr>
          <w:p w14:paraId="17DBEB1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增加</w:t>
            </w:r>
          </w:p>
        </w:tc>
      </w:tr>
    </w:tbl>
    <w:p w14:paraId="56AACDEB">
      <w:pPr>
        <w:keepNext w:val="0"/>
        <w:keepLines w:val="0"/>
        <w:pageBreakBefore w:val="0"/>
        <w:widowControl/>
        <w:kinsoku/>
        <w:wordWrap/>
        <w:overflowPunct/>
        <w:topLinePunct w:val="0"/>
        <w:autoSpaceDE/>
        <w:autoSpaceDN/>
        <w:bidi w:val="0"/>
        <w:adjustRightInd w:val="0"/>
        <w:snapToGrid w:val="0"/>
        <w:spacing w:line="440" w:lineRule="exact"/>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p>
    <w:p w14:paraId="448964D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三公”经费、培训经费2023年度财政拨款预算执行数较2022年度财政拨款预算执行数增加的主要原因为：“三公”经费增加的原因为本年度购置公务用车1辆；职工培训费增加的原因为本年度开展了2023年度全员综合素质教育培训，2022年因疫情未开展职工综合素质教育培训。</w:t>
      </w:r>
    </w:p>
    <w:p w14:paraId="4D0A5B2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综上，根据评分标准，该项指标扣5分，得0分。</w:t>
      </w:r>
    </w:p>
    <w:p w14:paraId="34F50FD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3.</w:t>
      </w:r>
      <w:r>
        <w:rPr>
          <w:rFonts w:hint="default" w:ascii="仿宋_GB2312" w:hAnsi="仿宋_GB2312" w:eastAsia="仿宋_GB2312" w:cs="仿宋_GB2312"/>
          <w:b w:val="0"/>
          <w:bCs w:val="0"/>
          <w:color w:val="000000"/>
          <w:sz w:val="31"/>
          <w:szCs w:val="31"/>
          <w:lang w:val="zh-CN" w:eastAsia="zh-CN"/>
        </w:rPr>
        <w:t>财务管理</w:t>
      </w:r>
      <w:r>
        <w:rPr>
          <w:rFonts w:hint="eastAsia" w:ascii="仿宋_GB2312" w:hAnsi="仿宋_GB2312" w:eastAsia="仿宋_GB2312" w:cs="仿宋_GB2312"/>
          <w:b w:val="0"/>
          <w:bCs w:val="0"/>
          <w:color w:val="000000"/>
          <w:sz w:val="31"/>
          <w:szCs w:val="31"/>
          <w:lang w:val="zh-CN" w:eastAsia="zh-CN"/>
        </w:rPr>
        <w:t>。</w:t>
      </w:r>
    </w:p>
    <w:p w14:paraId="4BB113BC">
      <w:pPr>
        <w:keepNext w:val="0"/>
        <w:keepLines w:val="0"/>
        <w:pageBreakBefore w:val="0"/>
        <w:widowControl/>
        <w:kinsoku/>
        <w:wordWrap/>
        <w:overflowPunct/>
        <w:topLinePunct w:val="0"/>
        <w:autoSpaceDE/>
        <w:autoSpaceDN/>
        <w:bidi w:val="0"/>
        <w:adjustRightInd w:val="0"/>
        <w:snapToGrid w:val="0"/>
        <w:spacing w:line="440" w:lineRule="exact"/>
        <w:ind w:firstLine="310" w:firstLineChars="1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财务管理制度</w:t>
      </w:r>
    </w:p>
    <w:p w14:paraId="5768E58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本单位</w:t>
      </w:r>
      <w:r>
        <w:rPr>
          <w:rFonts w:hint="eastAsia" w:ascii="仿宋_GB2312" w:hAnsi="仿宋_GB2312" w:eastAsia="仿宋_GB2312" w:cs="仿宋_GB2312"/>
          <w:b w:val="0"/>
          <w:bCs w:val="0"/>
          <w:color w:val="000000"/>
          <w:sz w:val="31"/>
          <w:szCs w:val="31"/>
          <w:lang w:val="zh-CN" w:eastAsia="zh-CN"/>
        </w:rPr>
        <w:t>已建立</w:t>
      </w:r>
      <w:r>
        <w:rPr>
          <w:rFonts w:hint="eastAsia" w:ascii="仿宋_GB2312" w:hAnsi="仿宋_GB2312" w:eastAsia="仿宋_GB2312" w:cs="仿宋_GB2312"/>
          <w:b w:val="0"/>
          <w:bCs w:val="0"/>
          <w:color w:val="000000"/>
          <w:sz w:val="31"/>
          <w:szCs w:val="31"/>
          <w:lang w:val="en-US" w:eastAsia="zh-CN"/>
        </w:rPr>
        <w:t>相关财务管理制度</w:t>
      </w:r>
      <w:r>
        <w:rPr>
          <w:rFonts w:hint="eastAsia" w:ascii="仿宋_GB2312" w:hAnsi="仿宋_GB2312" w:eastAsia="仿宋_GB2312" w:cs="仿宋_GB2312"/>
          <w:b w:val="0"/>
          <w:bCs w:val="0"/>
          <w:color w:val="000000"/>
          <w:sz w:val="31"/>
          <w:szCs w:val="31"/>
          <w:lang w:val="zh-CN" w:eastAsia="zh-CN"/>
        </w:rPr>
        <w:t>，并将制度严格落到实处。</w:t>
      </w:r>
    </w:p>
    <w:p w14:paraId="498CD78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综上，根据评分标准，该项指标不扣分，得4分。</w:t>
      </w:r>
    </w:p>
    <w:p w14:paraId="7CBF604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2</w:t>
      </w:r>
      <w:r>
        <w:rPr>
          <w:rFonts w:hint="eastAsia" w:ascii="仿宋_GB2312" w:hAnsi="仿宋_GB2312" w:eastAsia="仿宋_GB2312" w:cs="仿宋_GB2312"/>
          <w:b w:val="0"/>
          <w:bCs w:val="0"/>
          <w:color w:val="000000"/>
          <w:sz w:val="31"/>
          <w:szCs w:val="31"/>
          <w:lang w:val="zh-CN" w:eastAsia="zh-CN"/>
        </w:rPr>
        <w:t>）财务岗位设置</w:t>
      </w:r>
    </w:p>
    <w:p w14:paraId="6D9A5BF5">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本单位</w:t>
      </w:r>
      <w:r>
        <w:rPr>
          <w:rFonts w:hint="eastAsia" w:ascii="仿宋_GB2312" w:hAnsi="仿宋_GB2312" w:eastAsia="仿宋_GB2312" w:cs="仿宋_GB2312"/>
          <w:b w:val="0"/>
          <w:bCs w:val="0"/>
          <w:color w:val="000000"/>
          <w:sz w:val="31"/>
          <w:szCs w:val="31"/>
          <w:lang w:val="zh-CN" w:eastAsia="zh-CN"/>
        </w:rPr>
        <w:t>已合理设置财务工作岗位，明确职责权限，并严格实行不相容岗位分离，岗位间职责清晰，各岗位按照工作流程有序进行。</w:t>
      </w:r>
    </w:p>
    <w:p w14:paraId="08B6189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综上，根据评分标准，该项指标不扣分，得2分。</w:t>
      </w:r>
    </w:p>
    <w:p w14:paraId="775629B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（3）资金使用规范</w:t>
      </w:r>
    </w:p>
    <w:p w14:paraId="7D515081">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w:t>
      </w:r>
      <w:r>
        <w:rPr>
          <w:rFonts w:hint="default" w:ascii="仿宋_GB2312" w:hAnsi="仿宋_GB2312" w:eastAsia="仿宋_GB2312" w:cs="仿宋_GB2312"/>
          <w:b w:val="0"/>
          <w:bCs w:val="0"/>
          <w:color w:val="000000"/>
          <w:sz w:val="31"/>
          <w:szCs w:val="31"/>
          <w:lang w:val="en-US" w:eastAsia="zh-CN"/>
        </w:rPr>
        <w:t>资金严格按</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达古冰川管理局关于印发</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预算绩效目标管理制度〉的通知</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相关财务管理制度进行使用，坚持量入为出、确保重点、厉行节约、注重实效、重大经济事项支出由</w:t>
      </w:r>
      <w:r>
        <w:rPr>
          <w:rFonts w:hint="eastAsia" w:ascii="仿宋_GB2312" w:hAnsi="仿宋_GB2312" w:eastAsia="仿宋_GB2312" w:cs="仿宋_GB2312"/>
          <w:b w:val="0"/>
          <w:bCs w:val="0"/>
          <w:color w:val="000000"/>
          <w:sz w:val="31"/>
          <w:szCs w:val="31"/>
          <w:lang w:val="en-US" w:eastAsia="zh-CN"/>
        </w:rPr>
        <w:t>局党组</w:t>
      </w:r>
      <w:r>
        <w:rPr>
          <w:rFonts w:hint="default" w:ascii="仿宋_GB2312" w:hAnsi="仿宋_GB2312" w:eastAsia="仿宋_GB2312" w:cs="仿宋_GB2312"/>
          <w:b w:val="0"/>
          <w:bCs w:val="0"/>
          <w:color w:val="000000"/>
          <w:sz w:val="31"/>
          <w:szCs w:val="31"/>
          <w:lang w:val="en-US" w:eastAsia="zh-CN"/>
        </w:rPr>
        <w:t>集体决策研究决定的原则，保证资金使用合法合规</w:t>
      </w:r>
      <w:r>
        <w:rPr>
          <w:rFonts w:hint="eastAsia" w:ascii="仿宋_GB2312" w:hAnsi="仿宋_GB2312" w:eastAsia="仿宋_GB2312" w:cs="仿宋_GB2312"/>
          <w:b w:val="0"/>
          <w:bCs w:val="0"/>
          <w:color w:val="000000"/>
          <w:sz w:val="31"/>
          <w:szCs w:val="31"/>
          <w:lang w:val="en-US" w:eastAsia="zh-CN"/>
        </w:rPr>
        <w:t>。</w:t>
      </w:r>
    </w:p>
    <w:p w14:paraId="6FCB354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default" w:ascii="仿宋_GB2312" w:hAnsi="仿宋_GB2312" w:eastAsia="仿宋_GB2312" w:cs="仿宋_GB2312"/>
          <w:b w:val="0"/>
          <w:bCs w:val="0"/>
          <w:color w:val="000000"/>
          <w:sz w:val="31"/>
          <w:szCs w:val="31"/>
          <w:lang w:val="en-US" w:eastAsia="zh-CN"/>
        </w:rPr>
        <w:t>综上，根据评分标准，该项指标不扣分，得4分。</w:t>
      </w:r>
    </w:p>
    <w:p w14:paraId="52FA74C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4.</w:t>
      </w:r>
      <w:r>
        <w:rPr>
          <w:rFonts w:hint="default" w:ascii="仿宋_GB2312" w:hAnsi="仿宋_GB2312" w:eastAsia="仿宋_GB2312" w:cs="仿宋_GB2312"/>
          <w:b w:val="0"/>
          <w:bCs w:val="0"/>
          <w:color w:val="000000"/>
          <w:sz w:val="31"/>
          <w:szCs w:val="31"/>
          <w:lang w:val="zh-CN" w:eastAsia="zh-CN"/>
        </w:rPr>
        <w:t>资产管理</w:t>
      </w:r>
      <w:r>
        <w:rPr>
          <w:rFonts w:hint="eastAsia" w:ascii="仿宋_GB2312" w:hAnsi="仿宋_GB2312" w:eastAsia="仿宋_GB2312" w:cs="仿宋_GB2312"/>
          <w:b w:val="0"/>
          <w:bCs w:val="0"/>
          <w:color w:val="000000"/>
          <w:sz w:val="31"/>
          <w:szCs w:val="31"/>
          <w:lang w:val="zh-CN" w:eastAsia="zh-CN"/>
        </w:rPr>
        <w:t>。</w:t>
      </w:r>
    </w:p>
    <w:p w14:paraId="57FC6763">
      <w:pPr>
        <w:keepNext w:val="0"/>
        <w:keepLines w:val="0"/>
        <w:pageBreakBefore w:val="0"/>
        <w:widowControl/>
        <w:kinsoku/>
        <w:wordWrap/>
        <w:overflowPunct/>
        <w:topLinePunct w:val="0"/>
        <w:autoSpaceDE/>
        <w:autoSpaceDN/>
        <w:bidi w:val="0"/>
        <w:adjustRightInd w:val="0"/>
        <w:snapToGrid w:val="0"/>
        <w:spacing w:line="440" w:lineRule="exact"/>
        <w:ind w:firstLine="310" w:firstLineChars="1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人均资产变化率</w:t>
      </w:r>
    </w:p>
    <w:p w14:paraId="3651551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根据决算报表和国有资产年报表，本单位2022年末实有人数为76人，固定资产和无形资产净值合计16087.26万元；2023年末实有人数为80人，固定资产和无形资产净值合计14833.70万元。</w:t>
      </w:r>
    </w:p>
    <w:p w14:paraId="223B6D50">
      <w:pPr>
        <w:keepNext w:val="0"/>
        <w:keepLines w:val="0"/>
        <w:pageBreakBefore w:val="0"/>
        <w:widowControl/>
        <w:kinsoku/>
        <w:wordWrap/>
        <w:overflowPunct/>
        <w:topLinePunct w:val="0"/>
        <w:autoSpaceDE/>
        <w:autoSpaceDN/>
        <w:bidi w:val="0"/>
        <w:adjustRightInd w:val="0"/>
        <w:snapToGrid w:val="0"/>
        <w:spacing w:line="440" w:lineRule="exact"/>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根据评价标准，本单位2022年人均占有资产=16087.26/76=211.67（万元/人），2023年人均占有资产=14833.70/80=185.42（万元/人）。</w:t>
      </w:r>
    </w:p>
    <w:p w14:paraId="0D0FEFF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2023年本单位人均资产变化率=（185.42-211.67）/211.67×100.00%=-12.40%，小于2023年州直行政事业单位人均资产变化率N：-3.96%，得1.5分。</w:t>
      </w:r>
    </w:p>
    <w:p w14:paraId="35A1D79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2023年部门人均资产增长率为=（185.42-211.67）/211.67×100.00%=-12.40%，小于同期州级财政收入增长率N：54.2%，得1.5分。</w:t>
      </w:r>
    </w:p>
    <w:p w14:paraId="74EF2AC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综上，根据评分标准，该项指标不扣分，得3分。</w:t>
      </w:r>
    </w:p>
    <w:p w14:paraId="52A3ED2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（2）资产利用率</w:t>
      </w:r>
    </w:p>
    <w:p w14:paraId="4001702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2023年本单位超最低使用年限的办公家具账面价值为138.30万元，办公家具账面价值为204.18万元，办公家具超最低使用年限资产利用率为67.73%，大于2023年州直行政事业单位平均值（办公家具）N：14.48%。</w:t>
      </w:r>
    </w:p>
    <w:p w14:paraId="4B15D1D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2023年办公设备超最低使用年限账面价值为428.39万元，办公设备账面价值为543.89万元，办公设备超最低使用年限资产利用率为78.76%，大于州直行政事业单位平均值（办公设备）N：50.74%。</w:t>
      </w:r>
    </w:p>
    <w:p w14:paraId="635A934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综上，根据评分标准，该项指标不扣分，得3分。</w:t>
      </w:r>
    </w:p>
    <w:p w14:paraId="5240B98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（3）资产盘活率</w:t>
      </w:r>
    </w:p>
    <w:p w14:paraId="3594E073">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本单位2022年、2023年均无闲置资产。</w:t>
      </w:r>
    </w:p>
    <w:p w14:paraId="52868E2D">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综上，根据评分标准，该项指标不扣分，得3分。</w:t>
      </w:r>
    </w:p>
    <w:p w14:paraId="6393FA6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5.</w:t>
      </w:r>
      <w:r>
        <w:rPr>
          <w:rFonts w:hint="default" w:ascii="仿宋_GB2312" w:hAnsi="仿宋_GB2312" w:eastAsia="仿宋_GB2312" w:cs="仿宋_GB2312"/>
          <w:b w:val="0"/>
          <w:bCs w:val="0"/>
          <w:color w:val="000000"/>
          <w:sz w:val="31"/>
          <w:szCs w:val="31"/>
          <w:lang w:val="zh-CN" w:eastAsia="zh-CN"/>
        </w:rPr>
        <w:t>采购管理</w:t>
      </w:r>
      <w:r>
        <w:rPr>
          <w:rFonts w:hint="eastAsia" w:ascii="仿宋_GB2312" w:hAnsi="仿宋_GB2312" w:eastAsia="仿宋_GB2312" w:cs="仿宋_GB2312"/>
          <w:b w:val="0"/>
          <w:bCs w:val="0"/>
          <w:color w:val="000000"/>
          <w:sz w:val="31"/>
          <w:szCs w:val="31"/>
          <w:lang w:val="zh-CN" w:eastAsia="zh-CN"/>
        </w:rPr>
        <w:t>。</w:t>
      </w:r>
    </w:p>
    <w:p w14:paraId="09F45077">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）支持中小企业发展</w:t>
      </w:r>
    </w:p>
    <w:p w14:paraId="4713E1E1">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对适宜由中小企业提供的采购项目和采购包，预留采购份额专门面向中小企业采购，并在采购预算中单独列示。</w:t>
      </w:r>
    </w:p>
    <w:p w14:paraId="1CA86F3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综上，根据评分标准，该项指标不扣分，得3分。</w:t>
      </w:r>
    </w:p>
    <w:p w14:paraId="3C00CEC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2</w:t>
      </w:r>
      <w:r>
        <w:rPr>
          <w:rFonts w:hint="eastAsia" w:ascii="仿宋_GB2312" w:hAnsi="仿宋_GB2312" w:eastAsia="仿宋_GB2312" w:cs="仿宋_GB2312"/>
          <w:b w:val="0"/>
          <w:bCs w:val="0"/>
          <w:color w:val="000000"/>
          <w:sz w:val="31"/>
          <w:szCs w:val="31"/>
          <w:lang w:val="zh-CN" w:eastAsia="zh-CN"/>
        </w:rPr>
        <w:t>）采购执行率</w:t>
      </w:r>
    </w:p>
    <w:p w14:paraId="24855D1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本单位2023年政府采购项目8个，根据政府采购情况表和决算报表，本单位2023年政府采购实际支付总金额为310.58万元，当年安排政府采购总预算数437.83万元，当年已完成采购项目节约金额127.25万元。</w:t>
      </w:r>
    </w:p>
    <w:p w14:paraId="3A480DF5">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综上，根据评分标准，该项指标不扣分，该项指标得3分。</w:t>
      </w:r>
    </w:p>
    <w:p w14:paraId="3207E861">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en-US"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（二）部门预算项目绩效分析。</w:t>
      </w:r>
    </w:p>
    <w:p w14:paraId="43AB310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zh-CN" w:eastAsia="zh-CN"/>
        </w:rPr>
      </w:pPr>
      <w:r>
        <w:rPr>
          <w:rFonts w:hint="default" w:ascii="仿宋_GB2312" w:hAnsi="仿宋_GB2312" w:eastAsia="仿宋_GB2312" w:cs="仿宋_GB2312"/>
          <w:b w:val="0"/>
          <w:bCs w:val="0"/>
          <w:color w:val="000000"/>
          <w:sz w:val="31"/>
          <w:szCs w:val="31"/>
          <w:lang w:val="en-US" w:eastAsia="zh-CN"/>
        </w:rPr>
        <w:t>常年项目绩效分析。</w:t>
      </w:r>
      <w:r>
        <w:rPr>
          <w:rFonts w:hint="default" w:ascii="仿宋_GB2312" w:hAnsi="仿宋_GB2312" w:eastAsia="仿宋_GB2312" w:cs="仿宋_GB2312"/>
          <w:b w:val="0"/>
          <w:bCs w:val="0"/>
          <w:color w:val="000000"/>
          <w:sz w:val="31"/>
          <w:szCs w:val="31"/>
          <w:lang w:val="zh-CN" w:eastAsia="zh-CN"/>
        </w:rPr>
        <w:t>该类项目总数</w:t>
      </w:r>
      <w:r>
        <w:rPr>
          <w:rFonts w:hint="eastAsia" w:ascii="仿宋_GB2312" w:hAnsi="仿宋_GB2312" w:eastAsia="仿宋_GB2312" w:cs="仿宋_GB2312"/>
          <w:b w:val="0"/>
          <w:bCs w:val="0"/>
          <w:color w:val="000000"/>
          <w:sz w:val="31"/>
          <w:szCs w:val="31"/>
          <w:lang w:val="en-US" w:eastAsia="zh-CN"/>
        </w:rPr>
        <w:t>35</w:t>
      </w:r>
      <w:r>
        <w:rPr>
          <w:rFonts w:hint="default" w:ascii="仿宋_GB2312" w:hAnsi="仿宋_GB2312" w:eastAsia="仿宋_GB2312" w:cs="仿宋_GB2312"/>
          <w:b w:val="0"/>
          <w:bCs w:val="0"/>
          <w:color w:val="000000"/>
          <w:sz w:val="31"/>
          <w:szCs w:val="31"/>
          <w:lang w:val="zh-CN" w:eastAsia="zh-CN"/>
        </w:rPr>
        <w:t>个，涉及预算总金额</w:t>
      </w:r>
      <w:r>
        <w:rPr>
          <w:rFonts w:hint="default" w:ascii="仿宋_GB2312" w:hAnsi="仿宋_GB2312" w:eastAsia="仿宋_GB2312" w:cs="仿宋_GB2312"/>
          <w:b w:val="0"/>
          <w:bCs w:val="0"/>
          <w:color w:val="000000"/>
          <w:sz w:val="31"/>
          <w:szCs w:val="31"/>
          <w:lang w:val="en-US" w:eastAsia="zh-CN"/>
        </w:rPr>
        <w:t xml:space="preserve">   </w:t>
      </w:r>
      <w:r>
        <w:rPr>
          <w:rFonts w:hint="eastAsia" w:ascii="仿宋_GB2312" w:hAnsi="仿宋_GB2312" w:eastAsia="仿宋_GB2312" w:cs="仿宋_GB2312"/>
          <w:b w:val="0"/>
          <w:bCs w:val="0"/>
          <w:color w:val="000000"/>
          <w:sz w:val="31"/>
          <w:szCs w:val="31"/>
          <w:lang w:val="en-US" w:eastAsia="zh-CN"/>
        </w:rPr>
        <w:t>879.62</w:t>
      </w:r>
      <w:r>
        <w:rPr>
          <w:rFonts w:hint="default" w:ascii="仿宋_GB2312" w:hAnsi="仿宋_GB2312" w:eastAsia="仿宋_GB2312" w:cs="仿宋_GB2312"/>
          <w:b w:val="0"/>
          <w:bCs w:val="0"/>
          <w:color w:val="000000"/>
          <w:sz w:val="31"/>
          <w:szCs w:val="31"/>
          <w:lang w:val="zh-CN" w:eastAsia="zh-CN"/>
        </w:rPr>
        <w:t>万元，1</w:t>
      </w:r>
      <w:r>
        <w:rPr>
          <w:rFonts w:hint="eastAsia" w:ascii="仿宋_GB2312" w:hAnsi="仿宋_GB2312" w:eastAsia="仿宋_GB2312" w:cs="仿宋_GB2312"/>
          <w:b w:val="0"/>
          <w:bCs w:val="0"/>
          <w:color w:val="000000"/>
          <w:sz w:val="31"/>
          <w:szCs w:val="31"/>
          <w:lang w:val="zh-CN" w:eastAsia="zh-CN"/>
        </w:rPr>
        <w:t>—</w:t>
      </w:r>
      <w:r>
        <w:rPr>
          <w:rFonts w:hint="default" w:ascii="仿宋_GB2312" w:hAnsi="仿宋_GB2312" w:eastAsia="仿宋_GB2312" w:cs="仿宋_GB2312"/>
          <w:b w:val="0"/>
          <w:bCs w:val="0"/>
          <w:color w:val="000000"/>
          <w:sz w:val="31"/>
          <w:szCs w:val="31"/>
          <w:lang w:val="zh-CN" w:eastAsia="zh-CN"/>
        </w:rPr>
        <w:t>1</w:t>
      </w:r>
      <w:r>
        <w:rPr>
          <w:rFonts w:hint="default" w:ascii="仿宋_GB2312" w:hAnsi="仿宋_GB2312" w:eastAsia="仿宋_GB2312" w:cs="仿宋_GB2312"/>
          <w:b w:val="0"/>
          <w:bCs w:val="0"/>
          <w:color w:val="000000"/>
          <w:sz w:val="31"/>
          <w:szCs w:val="31"/>
          <w:lang w:val="en-US" w:eastAsia="zh-CN"/>
        </w:rPr>
        <w:t>2</w:t>
      </w:r>
      <w:r>
        <w:rPr>
          <w:rFonts w:hint="default" w:ascii="仿宋_GB2312" w:hAnsi="仿宋_GB2312" w:eastAsia="仿宋_GB2312" w:cs="仿宋_GB2312"/>
          <w:b w:val="0"/>
          <w:bCs w:val="0"/>
          <w:color w:val="000000"/>
          <w:sz w:val="31"/>
          <w:szCs w:val="31"/>
          <w:lang w:val="zh-CN" w:eastAsia="zh-CN"/>
        </w:rPr>
        <w:t>月预算执行</w:t>
      </w:r>
      <w:r>
        <w:rPr>
          <w:rFonts w:hint="eastAsia" w:ascii="仿宋_GB2312" w:hAnsi="仿宋_GB2312" w:eastAsia="仿宋_GB2312" w:cs="仿宋_GB2312"/>
          <w:b w:val="0"/>
          <w:bCs w:val="0"/>
          <w:color w:val="000000"/>
          <w:sz w:val="31"/>
          <w:szCs w:val="31"/>
          <w:lang w:val="en-US" w:eastAsia="zh-CN"/>
        </w:rPr>
        <w:t>数877.80万元，1—12月预算执行</w:t>
      </w:r>
      <w:r>
        <w:rPr>
          <w:rFonts w:hint="default" w:ascii="仿宋_GB2312" w:hAnsi="仿宋_GB2312" w:eastAsia="仿宋_GB2312" w:cs="仿宋_GB2312"/>
          <w:b w:val="0"/>
          <w:bCs w:val="0"/>
          <w:color w:val="000000"/>
          <w:sz w:val="31"/>
          <w:szCs w:val="31"/>
          <w:lang w:val="zh-CN" w:eastAsia="zh-CN"/>
        </w:rPr>
        <w:t>总体进度为</w:t>
      </w:r>
      <w:r>
        <w:rPr>
          <w:rFonts w:hint="eastAsia" w:ascii="仿宋_GB2312" w:hAnsi="仿宋_GB2312" w:eastAsia="仿宋_GB2312" w:cs="仿宋_GB2312"/>
          <w:b w:val="0"/>
          <w:bCs w:val="0"/>
          <w:color w:val="000000"/>
          <w:sz w:val="31"/>
          <w:szCs w:val="31"/>
          <w:lang w:val="en-US" w:eastAsia="zh-CN"/>
        </w:rPr>
        <w:t>99.79</w:t>
      </w:r>
      <w:r>
        <w:rPr>
          <w:rFonts w:hint="default" w:ascii="仿宋_GB2312" w:hAnsi="仿宋_GB2312" w:eastAsia="仿宋_GB2312" w:cs="仿宋_GB2312"/>
          <w:b w:val="0"/>
          <w:bCs w:val="0"/>
          <w:color w:val="000000"/>
          <w:sz w:val="31"/>
          <w:szCs w:val="31"/>
          <w:lang w:val="zh-CN" w:eastAsia="zh-CN"/>
        </w:rPr>
        <w:t>%，其中：预算结余率大于</w:t>
      </w:r>
      <w:r>
        <w:rPr>
          <w:rFonts w:hint="default" w:ascii="仿宋_GB2312" w:hAnsi="仿宋_GB2312" w:eastAsia="仿宋_GB2312" w:cs="仿宋_GB2312"/>
          <w:b w:val="0"/>
          <w:bCs w:val="0"/>
          <w:color w:val="000000"/>
          <w:sz w:val="31"/>
          <w:szCs w:val="31"/>
          <w:lang w:val="en-US" w:eastAsia="zh-CN"/>
        </w:rPr>
        <w:t>10%</w:t>
      </w:r>
      <w:r>
        <w:rPr>
          <w:rFonts w:hint="default" w:ascii="仿宋_GB2312" w:hAnsi="仿宋_GB2312" w:eastAsia="仿宋_GB2312" w:cs="仿宋_GB2312"/>
          <w:b w:val="0"/>
          <w:bCs w:val="0"/>
          <w:color w:val="000000"/>
          <w:sz w:val="31"/>
          <w:szCs w:val="31"/>
          <w:lang w:val="zh-CN" w:eastAsia="zh-CN"/>
        </w:rPr>
        <w:t>的项目共计</w:t>
      </w:r>
      <w:r>
        <w:rPr>
          <w:rFonts w:hint="eastAsia" w:ascii="仿宋_GB2312" w:hAnsi="仿宋_GB2312" w:eastAsia="仿宋_GB2312" w:cs="仿宋_GB2312"/>
          <w:b w:val="0"/>
          <w:bCs w:val="0"/>
          <w:color w:val="000000"/>
          <w:sz w:val="31"/>
          <w:szCs w:val="31"/>
          <w:lang w:val="en-US" w:eastAsia="zh-CN"/>
        </w:rPr>
        <w:t>0</w:t>
      </w:r>
      <w:r>
        <w:rPr>
          <w:rFonts w:hint="default" w:ascii="仿宋_GB2312" w:hAnsi="仿宋_GB2312" w:eastAsia="仿宋_GB2312" w:cs="仿宋_GB2312"/>
          <w:b w:val="0"/>
          <w:bCs w:val="0"/>
          <w:color w:val="000000"/>
          <w:sz w:val="31"/>
          <w:szCs w:val="31"/>
          <w:lang w:val="zh-CN" w:eastAsia="zh-CN"/>
        </w:rPr>
        <w:t>个。</w:t>
      </w:r>
    </w:p>
    <w:p w14:paraId="4830939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zh-CN" w:eastAsia="zh-CN"/>
        </w:rPr>
      </w:pPr>
      <w:r>
        <w:rPr>
          <w:rFonts w:hint="default" w:ascii="仿宋_GB2312" w:hAnsi="仿宋_GB2312" w:eastAsia="仿宋_GB2312" w:cs="仿宋_GB2312"/>
          <w:b w:val="0"/>
          <w:bCs w:val="0"/>
          <w:color w:val="000000"/>
          <w:sz w:val="31"/>
          <w:szCs w:val="31"/>
          <w:lang w:val="en-US" w:eastAsia="zh-CN"/>
        </w:rPr>
        <w:t>阶段</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一次性</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项目绩效分析。</w:t>
      </w:r>
      <w:r>
        <w:rPr>
          <w:rFonts w:hint="default" w:ascii="仿宋_GB2312" w:hAnsi="仿宋_GB2312" w:eastAsia="仿宋_GB2312" w:cs="仿宋_GB2312"/>
          <w:b w:val="0"/>
          <w:bCs w:val="0"/>
          <w:color w:val="000000"/>
          <w:sz w:val="31"/>
          <w:szCs w:val="31"/>
          <w:lang w:val="zh-CN" w:eastAsia="zh-CN"/>
        </w:rPr>
        <w:t>该类项目总数</w:t>
      </w:r>
      <w:r>
        <w:rPr>
          <w:rFonts w:hint="eastAsia" w:ascii="仿宋_GB2312" w:hAnsi="仿宋_GB2312" w:eastAsia="仿宋_GB2312" w:cs="仿宋_GB2312"/>
          <w:b w:val="0"/>
          <w:bCs w:val="0"/>
          <w:color w:val="000000"/>
          <w:sz w:val="31"/>
          <w:szCs w:val="31"/>
          <w:lang w:val="en-US" w:eastAsia="zh-CN"/>
        </w:rPr>
        <w:t>8</w:t>
      </w:r>
      <w:r>
        <w:rPr>
          <w:rFonts w:hint="default" w:ascii="仿宋_GB2312" w:hAnsi="仿宋_GB2312" w:eastAsia="仿宋_GB2312" w:cs="仿宋_GB2312"/>
          <w:b w:val="0"/>
          <w:bCs w:val="0"/>
          <w:color w:val="000000"/>
          <w:sz w:val="31"/>
          <w:szCs w:val="31"/>
          <w:lang w:val="zh-CN" w:eastAsia="zh-CN"/>
        </w:rPr>
        <w:t>个，涉及预算总金额</w:t>
      </w:r>
      <w:r>
        <w:rPr>
          <w:rFonts w:hint="eastAsia" w:ascii="仿宋_GB2312" w:hAnsi="仿宋_GB2312" w:eastAsia="仿宋_GB2312" w:cs="仿宋_GB2312"/>
          <w:b w:val="0"/>
          <w:bCs w:val="0"/>
          <w:color w:val="000000"/>
          <w:sz w:val="31"/>
          <w:szCs w:val="31"/>
          <w:lang w:val="en-US" w:eastAsia="zh-CN"/>
        </w:rPr>
        <w:t>522.70</w:t>
      </w:r>
      <w:r>
        <w:rPr>
          <w:rFonts w:hint="default" w:ascii="仿宋_GB2312" w:hAnsi="仿宋_GB2312" w:eastAsia="仿宋_GB2312" w:cs="仿宋_GB2312"/>
          <w:b w:val="0"/>
          <w:bCs w:val="0"/>
          <w:color w:val="000000"/>
          <w:sz w:val="31"/>
          <w:szCs w:val="31"/>
          <w:lang w:val="zh-CN" w:eastAsia="zh-CN"/>
        </w:rPr>
        <w:t>万元，1</w:t>
      </w:r>
      <w:r>
        <w:rPr>
          <w:rFonts w:hint="eastAsia" w:ascii="仿宋_GB2312" w:hAnsi="仿宋_GB2312" w:eastAsia="仿宋_GB2312" w:cs="仿宋_GB2312"/>
          <w:b w:val="0"/>
          <w:bCs w:val="0"/>
          <w:color w:val="000000"/>
          <w:sz w:val="31"/>
          <w:szCs w:val="31"/>
          <w:lang w:val="zh-CN" w:eastAsia="zh-CN"/>
        </w:rPr>
        <w:t>—</w:t>
      </w:r>
      <w:r>
        <w:rPr>
          <w:rFonts w:hint="default" w:ascii="仿宋_GB2312" w:hAnsi="仿宋_GB2312" w:eastAsia="仿宋_GB2312" w:cs="仿宋_GB2312"/>
          <w:b w:val="0"/>
          <w:bCs w:val="0"/>
          <w:color w:val="000000"/>
          <w:sz w:val="31"/>
          <w:szCs w:val="31"/>
          <w:lang w:val="zh-CN" w:eastAsia="zh-CN"/>
        </w:rPr>
        <w:t>1</w:t>
      </w:r>
      <w:r>
        <w:rPr>
          <w:rFonts w:hint="default" w:ascii="仿宋_GB2312" w:hAnsi="仿宋_GB2312" w:eastAsia="仿宋_GB2312" w:cs="仿宋_GB2312"/>
          <w:b w:val="0"/>
          <w:bCs w:val="0"/>
          <w:color w:val="000000"/>
          <w:sz w:val="31"/>
          <w:szCs w:val="31"/>
          <w:lang w:val="en-US" w:eastAsia="zh-CN"/>
        </w:rPr>
        <w:t>2</w:t>
      </w:r>
      <w:r>
        <w:rPr>
          <w:rFonts w:hint="default" w:ascii="仿宋_GB2312" w:hAnsi="仿宋_GB2312" w:eastAsia="仿宋_GB2312" w:cs="仿宋_GB2312"/>
          <w:b w:val="0"/>
          <w:bCs w:val="0"/>
          <w:color w:val="000000"/>
          <w:sz w:val="31"/>
          <w:szCs w:val="31"/>
          <w:lang w:val="zh-CN" w:eastAsia="zh-CN"/>
        </w:rPr>
        <w:t>月预算执行</w:t>
      </w:r>
      <w:r>
        <w:rPr>
          <w:rFonts w:hint="eastAsia" w:ascii="仿宋_GB2312" w:hAnsi="仿宋_GB2312" w:eastAsia="仿宋_GB2312" w:cs="仿宋_GB2312"/>
          <w:b w:val="0"/>
          <w:bCs w:val="0"/>
          <w:color w:val="000000"/>
          <w:sz w:val="31"/>
          <w:szCs w:val="31"/>
          <w:lang w:val="en-US" w:eastAsia="zh-CN"/>
        </w:rPr>
        <w:t>数397.70万元，1—12月预算执行</w:t>
      </w:r>
      <w:r>
        <w:rPr>
          <w:rFonts w:hint="default" w:ascii="仿宋_GB2312" w:hAnsi="仿宋_GB2312" w:eastAsia="仿宋_GB2312" w:cs="仿宋_GB2312"/>
          <w:b w:val="0"/>
          <w:bCs w:val="0"/>
          <w:color w:val="000000"/>
          <w:sz w:val="31"/>
          <w:szCs w:val="31"/>
          <w:lang w:val="zh-CN" w:eastAsia="zh-CN"/>
        </w:rPr>
        <w:t>总体进度为</w:t>
      </w:r>
      <w:r>
        <w:rPr>
          <w:rFonts w:hint="eastAsia" w:ascii="仿宋_GB2312" w:hAnsi="仿宋_GB2312" w:eastAsia="仿宋_GB2312" w:cs="仿宋_GB2312"/>
          <w:b w:val="0"/>
          <w:bCs w:val="0"/>
          <w:color w:val="000000"/>
          <w:sz w:val="31"/>
          <w:szCs w:val="31"/>
          <w:lang w:val="en-US" w:eastAsia="zh-CN"/>
        </w:rPr>
        <w:t>76.09</w:t>
      </w:r>
      <w:r>
        <w:rPr>
          <w:rFonts w:hint="default" w:ascii="仿宋_GB2312" w:hAnsi="仿宋_GB2312" w:eastAsia="仿宋_GB2312" w:cs="仿宋_GB2312"/>
          <w:b w:val="0"/>
          <w:bCs w:val="0"/>
          <w:color w:val="000000"/>
          <w:sz w:val="31"/>
          <w:szCs w:val="31"/>
          <w:lang w:val="zh-CN" w:eastAsia="zh-CN"/>
        </w:rPr>
        <w:t>%，其中：预算结余率大于</w:t>
      </w:r>
      <w:r>
        <w:rPr>
          <w:rFonts w:hint="default" w:ascii="仿宋_GB2312" w:hAnsi="仿宋_GB2312" w:eastAsia="仿宋_GB2312" w:cs="仿宋_GB2312"/>
          <w:b w:val="0"/>
          <w:bCs w:val="0"/>
          <w:color w:val="000000"/>
          <w:sz w:val="31"/>
          <w:szCs w:val="31"/>
          <w:lang w:val="en-US" w:eastAsia="zh-CN"/>
        </w:rPr>
        <w:t>10%</w:t>
      </w:r>
      <w:r>
        <w:rPr>
          <w:rFonts w:hint="default" w:ascii="仿宋_GB2312" w:hAnsi="仿宋_GB2312" w:eastAsia="仿宋_GB2312" w:cs="仿宋_GB2312"/>
          <w:b w:val="0"/>
          <w:bCs w:val="0"/>
          <w:color w:val="000000"/>
          <w:sz w:val="31"/>
          <w:szCs w:val="31"/>
          <w:lang w:val="zh-CN" w:eastAsia="zh-CN"/>
        </w:rPr>
        <w:t>的项目共计</w:t>
      </w:r>
      <w:r>
        <w:rPr>
          <w:rFonts w:hint="eastAsia" w:ascii="仿宋_GB2312" w:hAnsi="仿宋_GB2312" w:eastAsia="仿宋_GB2312" w:cs="仿宋_GB2312"/>
          <w:b w:val="0"/>
          <w:bCs w:val="0"/>
          <w:color w:val="000000"/>
          <w:sz w:val="31"/>
          <w:szCs w:val="31"/>
          <w:lang w:val="en-US" w:eastAsia="zh-CN"/>
        </w:rPr>
        <w:t>1</w:t>
      </w:r>
      <w:r>
        <w:rPr>
          <w:rFonts w:hint="default" w:ascii="仿宋_GB2312" w:hAnsi="仿宋_GB2312" w:eastAsia="仿宋_GB2312" w:cs="仿宋_GB2312"/>
          <w:b w:val="0"/>
          <w:bCs w:val="0"/>
          <w:color w:val="000000"/>
          <w:sz w:val="31"/>
          <w:szCs w:val="31"/>
          <w:lang w:val="zh-CN" w:eastAsia="zh-CN"/>
        </w:rPr>
        <w:t>个。</w:t>
      </w:r>
    </w:p>
    <w:p w14:paraId="517960B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项目决策。</w:t>
      </w:r>
    </w:p>
    <w:p w14:paraId="22C7B2FC">
      <w:pPr>
        <w:keepNext w:val="0"/>
        <w:keepLines w:val="0"/>
        <w:pageBreakBefore w:val="0"/>
        <w:widowControl/>
        <w:kinsoku/>
        <w:wordWrap/>
        <w:overflowPunct/>
        <w:topLinePunct w:val="0"/>
        <w:autoSpaceDE/>
        <w:autoSpaceDN/>
        <w:bidi w:val="0"/>
        <w:adjustRightInd w:val="0"/>
        <w:snapToGrid w:val="0"/>
        <w:spacing w:line="440" w:lineRule="exact"/>
        <w:ind w:firstLine="310" w:firstLineChars="1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决策程序</w:t>
      </w:r>
    </w:p>
    <w:p w14:paraId="5DF245C2">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本单位预算阶段项目（含一次性项目）总数为8个，无未履行事前评估程序的部门预算阶段项目。</w:t>
      </w:r>
    </w:p>
    <w:p w14:paraId="22483F6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default" w:ascii="仿宋_GB2312" w:hAnsi="仿宋_GB2312" w:eastAsia="仿宋_GB2312" w:cs="仿宋_GB2312"/>
          <w:b w:val="0"/>
          <w:bCs w:val="0"/>
          <w:color w:val="000000"/>
          <w:sz w:val="31"/>
          <w:szCs w:val="31"/>
          <w:lang w:val="en-US" w:eastAsia="zh-CN"/>
        </w:rPr>
        <w:t>综上，根据评分标准，该项指标不扣分，得4分。</w:t>
      </w:r>
    </w:p>
    <w:p w14:paraId="43BA73C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（2）目标设置</w:t>
      </w:r>
    </w:p>
    <w:p w14:paraId="0FD5A48E">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预算阶段项目（含一次性项目）总数为8个，其中：《神奇的达古冰川》口述历史纪录片制作项目和水生态环境质量建设及水污染防治能力建设经费项目未设置绩效目标表。另6个项目无绩效目标与计划期内的任务量、预算安排不相匹配的部门预算阶段项目（含一次性项目）。</w:t>
      </w:r>
    </w:p>
    <w:p w14:paraId="595FBB8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综上，根据评分标准，该项指标扣1分，得3分。</w:t>
      </w:r>
    </w:p>
    <w:p w14:paraId="02FDEC1E">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（3）项目入库</w:t>
      </w:r>
    </w:p>
    <w:p w14:paraId="701CB053">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本单位预算阶段项目（含一次性项目）总数为8个，均已在规定时间内入财政库。</w:t>
      </w:r>
    </w:p>
    <w:p w14:paraId="508600F2">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综上，根据评分标准，该项指标不扣分，得4分。</w:t>
      </w:r>
    </w:p>
    <w:p w14:paraId="27013563">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2.项目执行</w:t>
      </w:r>
      <w:r>
        <w:rPr>
          <w:rFonts w:hint="eastAsia" w:ascii="仿宋_GB2312" w:hAnsi="仿宋_GB2312" w:eastAsia="仿宋_GB2312" w:cs="仿宋_GB2312"/>
          <w:b w:val="0"/>
          <w:bCs w:val="0"/>
          <w:color w:val="000000"/>
          <w:sz w:val="31"/>
          <w:szCs w:val="31"/>
          <w:lang w:val="zh-CN" w:eastAsia="zh-CN"/>
        </w:rPr>
        <w:t>。</w:t>
      </w:r>
    </w:p>
    <w:p w14:paraId="39C08EAC">
      <w:pPr>
        <w:keepNext w:val="0"/>
        <w:keepLines w:val="0"/>
        <w:pageBreakBefore w:val="0"/>
        <w:widowControl/>
        <w:kinsoku/>
        <w:wordWrap/>
        <w:overflowPunct/>
        <w:topLinePunct w:val="0"/>
        <w:autoSpaceDE/>
        <w:autoSpaceDN/>
        <w:bidi w:val="0"/>
        <w:adjustRightInd w:val="0"/>
        <w:snapToGrid w:val="0"/>
        <w:spacing w:line="440" w:lineRule="exact"/>
        <w:ind w:firstLine="310" w:firstLineChars="1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）资金执行同向</w:t>
      </w:r>
    </w:p>
    <w:p w14:paraId="5EA112A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预算阶段项目（含一次性项目）总数为</w:t>
      </w:r>
      <w:r>
        <w:rPr>
          <w:rFonts w:hint="eastAsia" w:ascii="仿宋_GB2312" w:hAnsi="仿宋_GB2312" w:eastAsia="仿宋_GB2312" w:cs="仿宋_GB2312"/>
          <w:b w:val="0"/>
          <w:bCs w:val="0"/>
          <w:color w:val="000000"/>
          <w:sz w:val="31"/>
          <w:szCs w:val="31"/>
          <w:lang w:val="en-US" w:eastAsia="zh-CN"/>
        </w:rPr>
        <w:t>8</w:t>
      </w:r>
      <w:r>
        <w:rPr>
          <w:rFonts w:hint="eastAsia" w:ascii="仿宋_GB2312" w:hAnsi="仿宋_GB2312" w:eastAsia="仿宋_GB2312" w:cs="仿宋_GB2312"/>
          <w:b w:val="0"/>
          <w:bCs w:val="0"/>
          <w:color w:val="000000"/>
          <w:sz w:val="31"/>
          <w:szCs w:val="31"/>
          <w:lang w:val="zh-CN" w:eastAsia="zh-CN"/>
        </w:rPr>
        <w:t>个，无实际列支内容与绩效目标设置方向不相符的部门预算阶段项目（含一次性项目）。</w:t>
      </w:r>
    </w:p>
    <w:p w14:paraId="151C1ABB">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综上，根据评分标准，该项指标不扣分，得4分。</w:t>
      </w:r>
    </w:p>
    <w:p w14:paraId="0E1D4ED9">
      <w:pPr>
        <w:keepNext w:val="0"/>
        <w:keepLines w:val="0"/>
        <w:pageBreakBefore w:val="0"/>
        <w:widowControl/>
        <w:kinsoku/>
        <w:wordWrap/>
        <w:overflowPunct/>
        <w:topLinePunct w:val="0"/>
        <w:autoSpaceDE/>
        <w:autoSpaceDN/>
        <w:bidi w:val="0"/>
        <w:adjustRightInd w:val="0"/>
        <w:snapToGrid w:val="0"/>
        <w:spacing w:line="440" w:lineRule="exact"/>
        <w:ind w:firstLine="310" w:firstLineChars="1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2</w:t>
      </w:r>
      <w:r>
        <w:rPr>
          <w:rFonts w:hint="eastAsia" w:ascii="仿宋_GB2312" w:hAnsi="仿宋_GB2312" w:eastAsia="仿宋_GB2312" w:cs="仿宋_GB2312"/>
          <w:b w:val="0"/>
          <w:bCs w:val="0"/>
          <w:color w:val="000000"/>
          <w:sz w:val="31"/>
          <w:szCs w:val="31"/>
          <w:lang w:val="zh-CN" w:eastAsia="zh-CN"/>
        </w:rPr>
        <w:t>）项目调整</w:t>
      </w:r>
    </w:p>
    <w:p w14:paraId="46BFF7F0">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不涉及应采取收回预算、调整目标等处置措施的部门预算阶段项目（含一次性项目）。</w:t>
      </w:r>
    </w:p>
    <w:p w14:paraId="5CCDF16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综上，根据评分标准，该项指标不扣分，得4分。</w:t>
      </w:r>
    </w:p>
    <w:p w14:paraId="415760F3">
      <w:pPr>
        <w:keepNext w:val="0"/>
        <w:keepLines w:val="0"/>
        <w:pageBreakBefore w:val="0"/>
        <w:widowControl/>
        <w:kinsoku/>
        <w:wordWrap/>
        <w:overflowPunct/>
        <w:topLinePunct w:val="0"/>
        <w:autoSpaceDE/>
        <w:autoSpaceDN/>
        <w:bidi w:val="0"/>
        <w:adjustRightInd w:val="0"/>
        <w:snapToGrid w:val="0"/>
        <w:spacing w:line="440" w:lineRule="exact"/>
        <w:ind w:firstLine="310" w:firstLineChars="1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3</w:t>
      </w:r>
      <w:r>
        <w:rPr>
          <w:rFonts w:hint="eastAsia" w:ascii="仿宋_GB2312" w:hAnsi="仿宋_GB2312" w:eastAsia="仿宋_GB2312" w:cs="仿宋_GB2312"/>
          <w:b w:val="0"/>
          <w:bCs w:val="0"/>
          <w:color w:val="000000"/>
          <w:sz w:val="31"/>
          <w:szCs w:val="31"/>
          <w:lang w:val="zh-CN" w:eastAsia="zh-CN"/>
        </w:rPr>
        <w:t>）执行结果</w:t>
      </w:r>
    </w:p>
    <w:p w14:paraId="0CC5CAC7">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zh-CN" w:eastAsia="zh-CN"/>
        </w:rPr>
      </w:pPr>
      <w:r>
        <w:rPr>
          <w:rFonts w:hint="default" w:ascii="仿宋_GB2312" w:hAnsi="仿宋_GB2312" w:eastAsia="仿宋_GB2312" w:cs="仿宋_GB2312"/>
          <w:b w:val="0"/>
          <w:bCs w:val="0"/>
          <w:color w:val="000000"/>
          <w:sz w:val="31"/>
          <w:szCs w:val="31"/>
          <w:lang w:val="zh-CN" w:eastAsia="zh-CN"/>
        </w:rPr>
        <w:t>预算结余率小于10%的常年项目数量为</w:t>
      </w:r>
      <w:r>
        <w:rPr>
          <w:rFonts w:hint="eastAsia" w:ascii="仿宋_GB2312" w:hAnsi="仿宋_GB2312" w:eastAsia="仿宋_GB2312" w:cs="仿宋_GB2312"/>
          <w:b w:val="0"/>
          <w:bCs w:val="0"/>
          <w:color w:val="000000"/>
          <w:sz w:val="31"/>
          <w:szCs w:val="31"/>
          <w:lang w:val="en-US" w:eastAsia="zh-CN"/>
        </w:rPr>
        <w:t>35</w:t>
      </w:r>
      <w:r>
        <w:rPr>
          <w:rFonts w:hint="default" w:ascii="仿宋_GB2312" w:hAnsi="仿宋_GB2312" w:eastAsia="仿宋_GB2312" w:cs="仿宋_GB2312"/>
          <w:b w:val="0"/>
          <w:bCs w:val="0"/>
          <w:color w:val="000000"/>
          <w:sz w:val="31"/>
          <w:szCs w:val="31"/>
          <w:lang w:val="zh-CN" w:eastAsia="zh-CN"/>
        </w:rPr>
        <w:t>个，部门预算常年项目总数为</w:t>
      </w:r>
      <w:r>
        <w:rPr>
          <w:rFonts w:hint="eastAsia" w:ascii="仿宋_GB2312" w:hAnsi="仿宋_GB2312" w:eastAsia="仿宋_GB2312" w:cs="仿宋_GB2312"/>
          <w:b w:val="0"/>
          <w:bCs w:val="0"/>
          <w:color w:val="000000"/>
          <w:sz w:val="31"/>
          <w:szCs w:val="31"/>
          <w:lang w:val="en-US" w:eastAsia="zh-CN"/>
        </w:rPr>
        <w:t>35</w:t>
      </w:r>
      <w:r>
        <w:rPr>
          <w:rFonts w:hint="default" w:ascii="仿宋_GB2312" w:hAnsi="仿宋_GB2312" w:eastAsia="仿宋_GB2312" w:cs="仿宋_GB2312"/>
          <w:b w:val="0"/>
          <w:bCs w:val="0"/>
          <w:color w:val="000000"/>
          <w:sz w:val="31"/>
          <w:szCs w:val="31"/>
          <w:lang w:val="zh-CN" w:eastAsia="zh-CN"/>
        </w:rPr>
        <w:t>个，预算结余率小于10%的一次性项目和阶段项目数量为</w:t>
      </w:r>
      <w:r>
        <w:rPr>
          <w:rFonts w:hint="eastAsia" w:ascii="仿宋_GB2312" w:hAnsi="仿宋_GB2312" w:eastAsia="仿宋_GB2312" w:cs="仿宋_GB2312"/>
          <w:b w:val="0"/>
          <w:bCs w:val="0"/>
          <w:color w:val="000000"/>
          <w:sz w:val="31"/>
          <w:szCs w:val="31"/>
          <w:lang w:val="en-US" w:eastAsia="zh-CN"/>
        </w:rPr>
        <w:t>7</w:t>
      </w:r>
      <w:r>
        <w:rPr>
          <w:rFonts w:hint="default" w:ascii="仿宋_GB2312" w:hAnsi="仿宋_GB2312" w:eastAsia="仿宋_GB2312" w:cs="仿宋_GB2312"/>
          <w:b w:val="0"/>
          <w:bCs w:val="0"/>
          <w:color w:val="000000"/>
          <w:sz w:val="31"/>
          <w:szCs w:val="31"/>
          <w:lang w:val="zh-CN" w:eastAsia="zh-CN"/>
        </w:rPr>
        <w:t>个，部门预算一次性项目和阶段项目总数为</w:t>
      </w:r>
      <w:r>
        <w:rPr>
          <w:rFonts w:hint="eastAsia" w:ascii="仿宋_GB2312" w:hAnsi="仿宋_GB2312" w:eastAsia="仿宋_GB2312" w:cs="仿宋_GB2312"/>
          <w:b w:val="0"/>
          <w:bCs w:val="0"/>
          <w:color w:val="000000"/>
          <w:sz w:val="31"/>
          <w:szCs w:val="31"/>
          <w:lang w:val="en-US" w:eastAsia="zh-CN"/>
        </w:rPr>
        <w:t>8</w:t>
      </w:r>
      <w:r>
        <w:rPr>
          <w:rFonts w:hint="default" w:ascii="仿宋_GB2312" w:hAnsi="仿宋_GB2312" w:eastAsia="仿宋_GB2312" w:cs="仿宋_GB2312"/>
          <w:b w:val="0"/>
          <w:bCs w:val="0"/>
          <w:color w:val="000000"/>
          <w:sz w:val="31"/>
          <w:szCs w:val="31"/>
          <w:lang w:val="zh-CN" w:eastAsia="zh-CN"/>
        </w:rPr>
        <w:t>个。</w:t>
      </w:r>
    </w:p>
    <w:p w14:paraId="61D3739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zh-CN" w:eastAsia="zh-CN"/>
        </w:rPr>
      </w:pPr>
      <w:r>
        <w:rPr>
          <w:rFonts w:hint="default" w:ascii="仿宋_GB2312" w:hAnsi="仿宋_GB2312" w:eastAsia="仿宋_GB2312" w:cs="仿宋_GB2312"/>
          <w:b w:val="0"/>
          <w:bCs w:val="0"/>
          <w:color w:val="000000"/>
          <w:sz w:val="31"/>
          <w:szCs w:val="31"/>
          <w:lang w:val="zh-CN" w:eastAsia="zh-CN"/>
        </w:rPr>
        <w:t>综上，根据评分标准，该项指标扣</w:t>
      </w:r>
      <w:r>
        <w:rPr>
          <w:rFonts w:hint="eastAsia" w:ascii="仿宋_GB2312" w:hAnsi="仿宋_GB2312" w:eastAsia="仿宋_GB2312" w:cs="仿宋_GB2312"/>
          <w:b w:val="0"/>
          <w:bCs w:val="0"/>
          <w:color w:val="000000"/>
          <w:sz w:val="31"/>
          <w:szCs w:val="31"/>
          <w:lang w:val="en-US" w:eastAsia="zh-CN"/>
        </w:rPr>
        <w:t>0.25</w:t>
      </w:r>
      <w:r>
        <w:rPr>
          <w:rFonts w:hint="default" w:ascii="仿宋_GB2312" w:hAnsi="仿宋_GB2312" w:eastAsia="仿宋_GB2312" w:cs="仿宋_GB2312"/>
          <w:b w:val="0"/>
          <w:bCs w:val="0"/>
          <w:color w:val="000000"/>
          <w:sz w:val="31"/>
          <w:szCs w:val="31"/>
          <w:lang w:val="zh-CN" w:eastAsia="zh-CN"/>
        </w:rPr>
        <w:t>分</w:t>
      </w:r>
      <w:r>
        <w:rPr>
          <w:rFonts w:hint="eastAsia" w:ascii="仿宋_GB2312" w:hAnsi="仿宋_GB2312" w:eastAsia="仿宋_GB2312" w:cs="仿宋_GB2312"/>
          <w:b w:val="0"/>
          <w:bCs w:val="0"/>
          <w:color w:val="000000"/>
          <w:sz w:val="31"/>
          <w:szCs w:val="31"/>
          <w:lang w:val="zh-CN" w:eastAsia="zh-CN"/>
        </w:rPr>
        <w:t>，</w:t>
      </w:r>
      <w:r>
        <w:rPr>
          <w:rFonts w:hint="default" w:ascii="仿宋_GB2312" w:hAnsi="仿宋_GB2312" w:eastAsia="仿宋_GB2312" w:cs="仿宋_GB2312"/>
          <w:b w:val="0"/>
          <w:bCs w:val="0"/>
          <w:color w:val="000000"/>
          <w:sz w:val="31"/>
          <w:szCs w:val="31"/>
          <w:lang w:val="zh-CN" w:eastAsia="zh-CN"/>
        </w:rPr>
        <w:t>该项指标得</w:t>
      </w:r>
      <w:r>
        <w:rPr>
          <w:rFonts w:hint="eastAsia" w:ascii="仿宋_GB2312" w:hAnsi="仿宋_GB2312" w:eastAsia="仿宋_GB2312" w:cs="仿宋_GB2312"/>
          <w:b w:val="0"/>
          <w:bCs w:val="0"/>
          <w:color w:val="000000"/>
          <w:sz w:val="31"/>
          <w:szCs w:val="31"/>
          <w:lang w:val="en-US" w:eastAsia="zh-CN"/>
        </w:rPr>
        <w:t>3.75</w:t>
      </w:r>
      <w:r>
        <w:rPr>
          <w:rFonts w:hint="default" w:ascii="仿宋_GB2312" w:hAnsi="仿宋_GB2312" w:eastAsia="仿宋_GB2312" w:cs="仿宋_GB2312"/>
          <w:b w:val="0"/>
          <w:bCs w:val="0"/>
          <w:color w:val="000000"/>
          <w:sz w:val="31"/>
          <w:szCs w:val="31"/>
          <w:lang w:val="zh-CN" w:eastAsia="zh-CN"/>
        </w:rPr>
        <w:t>分。</w:t>
      </w:r>
    </w:p>
    <w:p w14:paraId="5BEE551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3.</w:t>
      </w:r>
      <w:r>
        <w:rPr>
          <w:rFonts w:hint="eastAsia" w:ascii="仿宋_GB2312" w:hAnsi="仿宋_GB2312" w:eastAsia="仿宋_GB2312" w:cs="仿宋_GB2312"/>
          <w:b w:val="0"/>
          <w:bCs w:val="0"/>
          <w:color w:val="000000"/>
          <w:sz w:val="31"/>
          <w:szCs w:val="31"/>
          <w:lang w:val="zh-CN" w:eastAsia="zh-CN"/>
        </w:rPr>
        <w:t>目标实现。</w:t>
      </w:r>
    </w:p>
    <w:p w14:paraId="21D2816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w:t>
      </w:r>
      <w:r>
        <w:rPr>
          <w:rFonts w:hint="eastAsia" w:ascii="仿宋_GB2312" w:hAnsi="仿宋_GB2312" w:eastAsia="仿宋_GB2312" w:cs="仿宋_GB2312"/>
          <w:b w:val="0"/>
          <w:bCs w:val="0"/>
          <w:color w:val="000000"/>
          <w:sz w:val="31"/>
          <w:szCs w:val="31"/>
          <w:lang w:val="zh-CN" w:eastAsia="zh-CN"/>
        </w:rPr>
        <w:t>）目标完成</w:t>
      </w:r>
    </w:p>
    <w:p w14:paraId="34C243DF">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预算阶段项目（含一次性项目）总数为</w:t>
      </w:r>
      <w:r>
        <w:rPr>
          <w:rFonts w:hint="eastAsia" w:ascii="仿宋_GB2312" w:hAnsi="仿宋_GB2312" w:eastAsia="仿宋_GB2312" w:cs="仿宋_GB2312"/>
          <w:b w:val="0"/>
          <w:bCs w:val="0"/>
          <w:color w:val="000000"/>
          <w:sz w:val="31"/>
          <w:szCs w:val="31"/>
          <w:lang w:val="en-US" w:eastAsia="zh-CN"/>
        </w:rPr>
        <w:t>8</w:t>
      </w:r>
      <w:r>
        <w:rPr>
          <w:rFonts w:hint="eastAsia" w:ascii="仿宋_GB2312" w:hAnsi="仿宋_GB2312" w:eastAsia="仿宋_GB2312" w:cs="仿宋_GB2312"/>
          <w:b w:val="0"/>
          <w:bCs w:val="0"/>
          <w:color w:val="000000"/>
          <w:sz w:val="31"/>
          <w:szCs w:val="31"/>
          <w:lang w:val="zh-CN" w:eastAsia="zh-CN"/>
        </w:rPr>
        <w:t>个，已完成绩效目标数量指标的部门预算阶段项目（含一次性项目）数量为</w:t>
      </w:r>
      <w:r>
        <w:rPr>
          <w:rFonts w:hint="eastAsia" w:ascii="仿宋_GB2312" w:hAnsi="仿宋_GB2312" w:eastAsia="仿宋_GB2312" w:cs="仿宋_GB2312"/>
          <w:b w:val="0"/>
          <w:bCs w:val="0"/>
          <w:color w:val="000000"/>
          <w:sz w:val="31"/>
          <w:szCs w:val="31"/>
          <w:lang w:val="en-US" w:eastAsia="zh-CN"/>
        </w:rPr>
        <w:t>7</w:t>
      </w:r>
      <w:r>
        <w:rPr>
          <w:rFonts w:hint="eastAsia" w:ascii="仿宋_GB2312" w:hAnsi="仿宋_GB2312" w:eastAsia="仿宋_GB2312" w:cs="仿宋_GB2312"/>
          <w:b w:val="0"/>
          <w:bCs w:val="0"/>
          <w:color w:val="000000"/>
          <w:sz w:val="31"/>
          <w:szCs w:val="31"/>
          <w:lang w:val="zh-CN" w:eastAsia="zh-CN"/>
        </w:rPr>
        <w:t>个，</w:t>
      </w:r>
      <w:r>
        <w:rPr>
          <w:rFonts w:hint="eastAsia" w:ascii="仿宋_GB2312" w:hAnsi="仿宋_GB2312" w:eastAsia="仿宋_GB2312" w:cs="仿宋_GB2312"/>
          <w:b w:val="0"/>
          <w:bCs w:val="0"/>
          <w:color w:val="000000"/>
          <w:sz w:val="31"/>
          <w:szCs w:val="31"/>
          <w:lang w:val="en-US" w:eastAsia="zh-CN"/>
        </w:rPr>
        <w:t>其中：三打古自然保护区生态保护恢复项目未完成</w:t>
      </w:r>
      <w:r>
        <w:rPr>
          <w:rFonts w:hint="eastAsia" w:ascii="仿宋_GB2312" w:hAnsi="仿宋_GB2312" w:eastAsia="仿宋_GB2312" w:cs="仿宋_GB2312"/>
          <w:b w:val="0"/>
          <w:bCs w:val="0"/>
          <w:color w:val="000000"/>
          <w:sz w:val="31"/>
          <w:szCs w:val="31"/>
          <w:lang w:val="zh-CN" w:eastAsia="zh-CN"/>
        </w:rPr>
        <w:t>。</w:t>
      </w:r>
    </w:p>
    <w:p w14:paraId="0F271DA4">
      <w:pPr>
        <w:keepNext w:val="0"/>
        <w:keepLines w:val="0"/>
        <w:pageBreakBefore w:val="0"/>
        <w:widowControl/>
        <w:kinsoku/>
        <w:wordWrap/>
        <w:overflowPunct/>
        <w:topLinePunct w:val="0"/>
        <w:autoSpaceDE/>
        <w:autoSpaceDN/>
        <w:bidi w:val="0"/>
        <w:adjustRightInd w:val="0"/>
        <w:snapToGrid w:val="0"/>
        <w:spacing w:line="440" w:lineRule="exact"/>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w:t>
      </w:r>
      <w:r>
        <w:rPr>
          <w:rFonts w:hint="eastAsia" w:ascii="仿宋_GB2312" w:hAnsi="仿宋_GB2312" w:eastAsia="仿宋_GB2312" w:cs="仿宋_GB2312"/>
          <w:b w:val="0"/>
          <w:bCs w:val="0"/>
          <w:color w:val="000000"/>
          <w:sz w:val="31"/>
          <w:szCs w:val="31"/>
          <w:lang w:val="en-US" w:eastAsia="zh-CN"/>
        </w:rPr>
        <w:t>扣0.5分</w:t>
      </w:r>
      <w:r>
        <w:rPr>
          <w:rFonts w:hint="eastAsia" w:ascii="仿宋_GB2312" w:hAnsi="仿宋_GB2312" w:eastAsia="仿宋_GB2312" w:cs="仿宋_GB2312"/>
          <w:b w:val="0"/>
          <w:bCs w:val="0"/>
          <w:color w:val="000000"/>
          <w:sz w:val="31"/>
          <w:szCs w:val="31"/>
          <w:lang w:val="zh-CN" w:eastAsia="zh-CN"/>
        </w:rPr>
        <w:t>，得</w:t>
      </w:r>
      <w:r>
        <w:rPr>
          <w:rFonts w:hint="eastAsia" w:ascii="仿宋_GB2312" w:hAnsi="仿宋_GB2312" w:eastAsia="仿宋_GB2312" w:cs="仿宋_GB2312"/>
          <w:b w:val="0"/>
          <w:bCs w:val="0"/>
          <w:color w:val="000000"/>
          <w:sz w:val="31"/>
          <w:szCs w:val="31"/>
          <w:lang w:val="en-US" w:eastAsia="zh-CN"/>
        </w:rPr>
        <w:t>3.5</w:t>
      </w:r>
      <w:r>
        <w:rPr>
          <w:rFonts w:hint="eastAsia" w:ascii="仿宋_GB2312" w:hAnsi="仿宋_GB2312" w:eastAsia="仿宋_GB2312" w:cs="仿宋_GB2312"/>
          <w:b w:val="0"/>
          <w:bCs w:val="0"/>
          <w:color w:val="000000"/>
          <w:sz w:val="31"/>
          <w:szCs w:val="31"/>
          <w:lang w:val="zh-CN" w:eastAsia="zh-CN"/>
        </w:rPr>
        <w:t>分。</w:t>
      </w:r>
    </w:p>
    <w:p w14:paraId="06E89754">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2</w:t>
      </w:r>
      <w:r>
        <w:rPr>
          <w:rFonts w:hint="eastAsia" w:ascii="仿宋_GB2312" w:hAnsi="仿宋_GB2312" w:eastAsia="仿宋_GB2312" w:cs="仿宋_GB2312"/>
          <w:b w:val="0"/>
          <w:bCs w:val="0"/>
          <w:color w:val="000000"/>
          <w:sz w:val="31"/>
          <w:szCs w:val="31"/>
          <w:lang w:val="zh-CN" w:eastAsia="zh-CN"/>
        </w:rPr>
        <w:t>）目标偏离</w:t>
      </w:r>
    </w:p>
    <w:p w14:paraId="15F6F75E">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本单位已完成预期指标值的数量指标中偏离度在30%内的指标个数为1+3+1+3+3+1=12个，已完成预期指标值的数量指标个数为0+3+1+3+3+1=11个。</w:t>
      </w:r>
    </w:p>
    <w:p w14:paraId="1605EC9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已完成预期指标值的数量指标中偏离度偏离度=|（</w:t>
      </w:r>
      <w:r>
        <w:rPr>
          <w:rFonts w:hint="eastAsia" w:ascii="仿宋_GB2312" w:hAnsi="仿宋_GB2312" w:eastAsia="仿宋_GB2312" w:cs="仿宋_GB2312"/>
          <w:b w:val="0"/>
          <w:bCs w:val="0"/>
          <w:color w:val="000000"/>
          <w:sz w:val="31"/>
          <w:szCs w:val="31"/>
          <w:lang w:val="en-US" w:eastAsia="zh-CN"/>
        </w:rPr>
        <w:t>11</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12）</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12</w:t>
      </w: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*100%=8.33%</w:t>
      </w:r>
      <w:r>
        <w:rPr>
          <w:rFonts w:hint="eastAsia" w:ascii="仿宋_GB2312" w:hAnsi="仿宋_GB2312" w:eastAsia="仿宋_GB2312" w:cs="仿宋_GB2312"/>
          <w:b w:val="0"/>
          <w:bCs w:val="0"/>
          <w:color w:val="000000"/>
          <w:sz w:val="31"/>
          <w:szCs w:val="31"/>
          <w:lang w:val="zh-CN" w:eastAsia="zh-CN"/>
        </w:rPr>
        <w:t>。</w:t>
      </w:r>
    </w:p>
    <w:p w14:paraId="4D12E7F0">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综上，根据评分标准，该项指标不扣分，得4分。</w:t>
      </w:r>
    </w:p>
    <w:p w14:paraId="40477CEF">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zh-CN" w:eastAsia="zh-CN"/>
        </w:rPr>
        <w:t>（</w:t>
      </w:r>
      <w:r>
        <w:rPr>
          <w:rFonts w:hint="eastAsia" w:ascii="仿宋_GB2312" w:hAnsi="仿宋_GB2312" w:eastAsia="仿宋_GB2312" w:cs="仿宋_GB2312"/>
          <w:b w:val="0"/>
          <w:bCs w:val="0"/>
          <w:color w:val="000000"/>
          <w:sz w:val="31"/>
          <w:szCs w:val="31"/>
          <w:lang w:val="en-US" w:eastAsia="zh-CN"/>
        </w:rPr>
        <w:t>3</w:t>
      </w:r>
      <w:r>
        <w:rPr>
          <w:rFonts w:hint="eastAsia" w:ascii="仿宋_GB2312" w:hAnsi="仿宋_GB2312" w:eastAsia="仿宋_GB2312" w:cs="仿宋_GB2312"/>
          <w:b w:val="0"/>
          <w:bCs w:val="0"/>
          <w:color w:val="000000"/>
          <w:sz w:val="31"/>
          <w:szCs w:val="31"/>
          <w:lang w:val="zh-CN" w:eastAsia="zh-CN"/>
        </w:rPr>
        <w:t>）实现</w:t>
      </w:r>
      <w:r>
        <w:rPr>
          <w:rFonts w:hint="eastAsia" w:ascii="仿宋_GB2312" w:hAnsi="仿宋_GB2312" w:eastAsia="仿宋_GB2312" w:cs="仿宋_GB2312"/>
          <w:b w:val="0"/>
          <w:bCs w:val="0"/>
          <w:color w:val="000000"/>
          <w:sz w:val="31"/>
          <w:szCs w:val="31"/>
          <w:lang w:val="en-US" w:eastAsia="zh-CN"/>
        </w:rPr>
        <w:t>效果</w:t>
      </w:r>
    </w:p>
    <w:p w14:paraId="5B64577D">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预算阶段项目（含一次性项目）总数为</w:t>
      </w:r>
      <w:r>
        <w:rPr>
          <w:rFonts w:hint="eastAsia" w:ascii="仿宋_GB2312" w:hAnsi="仿宋_GB2312" w:eastAsia="仿宋_GB2312" w:cs="仿宋_GB2312"/>
          <w:b w:val="0"/>
          <w:bCs w:val="0"/>
          <w:color w:val="000000"/>
          <w:sz w:val="31"/>
          <w:szCs w:val="31"/>
          <w:lang w:val="en-US" w:eastAsia="zh-CN"/>
        </w:rPr>
        <w:t>8</w:t>
      </w:r>
      <w:r>
        <w:rPr>
          <w:rFonts w:hint="eastAsia" w:ascii="仿宋_GB2312" w:hAnsi="仿宋_GB2312" w:eastAsia="仿宋_GB2312" w:cs="仿宋_GB2312"/>
          <w:b w:val="0"/>
          <w:bCs w:val="0"/>
          <w:color w:val="000000"/>
          <w:sz w:val="31"/>
          <w:szCs w:val="31"/>
          <w:lang w:val="zh-CN" w:eastAsia="zh-CN"/>
        </w:rPr>
        <w:t>个，完成绩效目标效益指标的部门预算阶段项目（含一次性项目）数量为</w:t>
      </w:r>
      <w:r>
        <w:rPr>
          <w:rFonts w:hint="eastAsia" w:ascii="仿宋_GB2312" w:hAnsi="仿宋_GB2312" w:eastAsia="仿宋_GB2312" w:cs="仿宋_GB2312"/>
          <w:b w:val="0"/>
          <w:bCs w:val="0"/>
          <w:color w:val="000000"/>
          <w:sz w:val="31"/>
          <w:szCs w:val="31"/>
          <w:lang w:val="en-US" w:eastAsia="zh-CN"/>
        </w:rPr>
        <w:t>7</w:t>
      </w:r>
      <w:r>
        <w:rPr>
          <w:rFonts w:hint="eastAsia" w:ascii="仿宋_GB2312" w:hAnsi="仿宋_GB2312" w:eastAsia="仿宋_GB2312" w:cs="仿宋_GB2312"/>
          <w:b w:val="0"/>
          <w:bCs w:val="0"/>
          <w:color w:val="000000"/>
          <w:sz w:val="31"/>
          <w:szCs w:val="31"/>
          <w:lang w:val="zh-CN" w:eastAsia="zh-CN"/>
        </w:rPr>
        <w:t>个，</w:t>
      </w:r>
      <w:r>
        <w:rPr>
          <w:rFonts w:hint="eastAsia" w:ascii="仿宋_GB2312" w:hAnsi="仿宋_GB2312" w:eastAsia="仿宋_GB2312" w:cs="仿宋_GB2312"/>
          <w:b w:val="0"/>
          <w:bCs w:val="0"/>
          <w:color w:val="000000"/>
          <w:sz w:val="31"/>
          <w:szCs w:val="31"/>
          <w:lang w:val="en-US" w:eastAsia="zh-CN"/>
        </w:rPr>
        <w:t>本单位</w:t>
      </w:r>
      <w:r>
        <w:rPr>
          <w:rFonts w:hint="eastAsia" w:ascii="仿宋_GB2312" w:hAnsi="仿宋_GB2312" w:eastAsia="仿宋_GB2312" w:cs="仿宋_GB2312"/>
          <w:b w:val="0"/>
          <w:bCs w:val="0"/>
          <w:color w:val="000000"/>
          <w:sz w:val="31"/>
          <w:szCs w:val="31"/>
          <w:lang w:val="zh-CN" w:eastAsia="zh-CN"/>
        </w:rPr>
        <w:t>预算项目绩效目标效益指标实施效果较好。</w:t>
      </w:r>
    </w:p>
    <w:p w14:paraId="25E322D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zh-CN" w:eastAsia="zh-CN"/>
        </w:rPr>
        <w:t>综上，根据评分标准，该项指标</w:t>
      </w:r>
      <w:r>
        <w:rPr>
          <w:rFonts w:hint="eastAsia" w:ascii="仿宋_GB2312" w:hAnsi="仿宋_GB2312" w:eastAsia="仿宋_GB2312" w:cs="仿宋_GB2312"/>
          <w:b w:val="0"/>
          <w:bCs w:val="0"/>
          <w:color w:val="000000"/>
          <w:sz w:val="31"/>
          <w:szCs w:val="31"/>
          <w:lang w:val="en-US" w:eastAsia="zh-CN"/>
        </w:rPr>
        <w:t>扣0.37分，</w:t>
      </w:r>
      <w:r>
        <w:rPr>
          <w:rFonts w:hint="eastAsia" w:ascii="仿宋_GB2312" w:hAnsi="仿宋_GB2312" w:eastAsia="仿宋_GB2312" w:cs="仿宋_GB2312"/>
          <w:b w:val="0"/>
          <w:bCs w:val="0"/>
          <w:color w:val="000000"/>
          <w:sz w:val="31"/>
          <w:szCs w:val="31"/>
          <w:lang w:val="zh-CN" w:eastAsia="zh-CN"/>
        </w:rPr>
        <w:t>该项指标得</w:t>
      </w:r>
      <w:r>
        <w:rPr>
          <w:rFonts w:hint="eastAsia" w:ascii="仿宋_GB2312" w:hAnsi="仿宋_GB2312" w:eastAsia="仿宋_GB2312" w:cs="仿宋_GB2312"/>
          <w:b w:val="0"/>
          <w:bCs w:val="0"/>
          <w:color w:val="000000"/>
          <w:sz w:val="31"/>
          <w:szCs w:val="31"/>
          <w:lang w:val="en-US" w:eastAsia="zh-CN"/>
        </w:rPr>
        <w:t>2.63</w:t>
      </w:r>
      <w:r>
        <w:rPr>
          <w:rFonts w:hint="eastAsia" w:ascii="仿宋_GB2312" w:hAnsi="仿宋_GB2312" w:eastAsia="仿宋_GB2312" w:cs="仿宋_GB2312"/>
          <w:b w:val="0"/>
          <w:bCs w:val="0"/>
          <w:color w:val="000000"/>
          <w:sz w:val="31"/>
          <w:szCs w:val="31"/>
          <w:lang w:val="zh-CN" w:eastAsia="zh-CN"/>
        </w:rPr>
        <w:t>分。</w:t>
      </w:r>
    </w:p>
    <w:p w14:paraId="54116658">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en-US" w:eastAsia="zh-CN"/>
        </w:rPr>
        <w:t>三</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default" w:ascii="Times New Roman" w:hAnsi="Times New Roman" w:eastAsia="楷体_GB2312" w:cs="Times New Roman"/>
          <w:b/>
          <w:bCs/>
          <w:color w:val="auto"/>
          <w:kern w:val="0"/>
          <w:sz w:val="32"/>
          <w:szCs w:val="32"/>
          <w:highlight w:val="none"/>
          <w:shd w:val="clear" w:color="auto" w:fill="FFFFFF"/>
          <w:lang w:val="zh-CN" w:eastAsia="zh-CN"/>
        </w:rPr>
        <w:t>重点领域绩效分析。</w:t>
      </w:r>
    </w:p>
    <w:p w14:paraId="67E1DEAB">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1.行政事业性国有资产绩效分析。</w:t>
      </w:r>
    </w:p>
    <w:p w14:paraId="002CCDD5">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严格按照相关工作要求，在四川省行政事业性国有资产管理信息系统中对国有资产进行管理，按时将新购、满足固定资产登记条件的资产进行资产卡片新增。每月初按时填报资产月报，严格审核，确保数据准确、及时、完整性，有效夯实了行政事业性国有资产管理基础工作。</w:t>
      </w:r>
    </w:p>
    <w:p w14:paraId="473B383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2.政府采购绩效分析。</w:t>
      </w:r>
    </w:p>
    <w:p w14:paraId="5230632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本单位严格按照政府采购程序进行采购，政府采购完成情况如下表：</w:t>
      </w:r>
    </w:p>
    <w:tbl>
      <w:tblPr>
        <w:tblStyle w:val="18"/>
        <w:tblW w:w="10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550"/>
        <w:gridCol w:w="2211"/>
        <w:gridCol w:w="2655"/>
        <w:gridCol w:w="1674"/>
        <w:gridCol w:w="1272"/>
        <w:gridCol w:w="1728"/>
      </w:tblGrid>
      <w:tr w14:paraId="50E6D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blHeader/>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2B75024B">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序号</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center"/>
          </w:tcPr>
          <w:p w14:paraId="13FB089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项目名称</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42DD579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项目编号</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0E31B4E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预算金额（元）</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0671B86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中标金额（元）</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70EA203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实际支付金额</w:t>
            </w:r>
          </w:p>
          <w:p w14:paraId="6723424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（元）</w:t>
            </w:r>
          </w:p>
        </w:tc>
      </w:tr>
      <w:tr w14:paraId="20992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21E3E48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1</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center"/>
          </w:tcPr>
          <w:p w14:paraId="12FF46A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三打古自然保护区生态保护恢复项目</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4D0986F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51320023210200002852</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3B33E01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1150000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5B93DF6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1125000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06E00D2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0.00</w:t>
            </w:r>
          </w:p>
        </w:tc>
      </w:tr>
      <w:tr w14:paraId="2FCD2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52F8776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65DF37A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办公家具购置</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top"/>
          </w:tcPr>
          <w:p w14:paraId="4AFEAFA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51320023210200002769</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7416535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98900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0BBBA1E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97200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2445867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97200.00</w:t>
            </w:r>
          </w:p>
        </w:tc>
      </w:tr>
      <w:tr w14:paraId="2ED43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70FF201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3</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5BA05C0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办公设备购置</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2D5233C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51320023210200002768</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760BFDB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99400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338A4D8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98960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5600146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98960.00</w:t>
            </w:r>
          </w:p>
        </w:tc>
      </w:tr>
      <w:tr w14:paraId="15104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0F93873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4</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75E0DA7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公务车辆维修</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7955762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51320023210200002614</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6FAB0DF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80000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04D0143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78942.00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61E4A90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78942.00</w:t>
            </w:r>
          </w:p>
        </w:tc>
      </w:tr>
      <w:tr w14:paraId="600E8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54CCF4F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521F53D2">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达古冰川管理局2023黑水环达古冰川自行车嘉年华活动</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66D3847F">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51320023210200002474</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3091BF2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450000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535C3E0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448800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245D29F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448800.00</w:t>
            </w:r>
          </w:p>
        </w:tc>
      </w:tr>
      <w:tr w14:paraId="6415F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26930996">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6</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3A18729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公务用车购置</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0A83D300">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51320023210200002434</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6CBE82B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600000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1C911DB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595800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0CB8A3D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595800.00</w:t>
            </w:r>
          </w:p>
        </w:tc>
      </w:tr>
      <w:tr w14:paraId="66C7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7584243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7</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5C17AA8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达古冰川管理局2023年度全员“生态保护与景区旅游服务管理”专题培训</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7FD9081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51320023210200002331</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7C9E1C7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300000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601D47C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285000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51815F6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285000.00</w:t>
            </w:r>
          </w:p>
        </w:tc>
      </w:tr>
      <w:tr w14:paraId="0AFC6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59A5C77A">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8</w:t>
            </w:r>
          </w:p>
        </w:tc>
        <w:tc>
          <w:tcPr>
            <w:tcW w:w="2211" w:type="dxa"/>
            <w:tcBorders>
              <w:top w:val="single" w:color="auto" w:sz="4" w:space="0"/>
              <w:left w:val="single" w:color="auto" w:sz="4" w:space="0"/>
              <w:bottom w:val="single" w:color="auto" w:sz="4" w:space="0"/>
              <w:right w:val="single" w:color="auto" w:sz="4" w:space="0"/>
            </w:tcBorders>
            <w:shd w:val="clear" w:color="auto" w:fill="auto"/>
            <w:vAlign w:val="top"/>
          </w:tcPr>
          <w:p w14:paraId="2978240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达古冰川景区旅游策划</w:t>
            </w:r>
          </w:p>
        </w:tc>
        <w:tc>
          <w:tcPr>
            <w:tcW w:w="2655" w:type="dxa"/>
            <w:tcBorders>
              <w:top w:val="single" w:color="auto" w:sz="4" w:space="0"/>
              <w:left w:val="single" w:color="auto" w:sz="4" w:space="0"/>
              <w:bottom w:val="single" w:color="auto" w:sz="4" w:space="0"/>
              <w:right w:val="single" w:color="auto" w:sz="4" w:space="0"/>
            </w:tcBorders>
            <w:shd w:val="clear" w:color="auto" w:fill="auto"/>
            <w:vAlign w:val="center"/>
          </w:tcPr>
          <w:p w14:paraId="4120C9A4">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51320023210200001817</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6A50D595">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1600000.00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41D3C1A8">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1500000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4737BCD7">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1500000.00</w:t>
            </w:r>
          </w:p>
        </w:tc>
      </w:tr>
      <w:tr w14:paraId="2B3E8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550" w:type="dxa"/>
            <w:tcBorders>
              <w:top w:val="single" w:color="auto" w:sz="4" w:space="0"/>
              <w:left w:val="single" w:color="auto" w:sz="4" w:space="0"/>
              <w:bottom w:val="single" w:color="auto" w:sz="4" w:space="0"/>
              <w:right w:val="single" w:color="auto" w:sz="4" w:space="0"/>
            </w:tcBorders>
            <w:shd w:val="clear" w:color="auto" w:fill="auto"/>
            <w:vAlign w:val="center"/>
          </w:tcPr>
          <w:p w14:paraId="092AF25C">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p>
        </w:tc>
        <w:tc>
          <w:tcPr>
            <w:tcW w:w="4866" w:type="dxa"/>
            <w:gridSpan w:val="2"/>
            <w:tcBorders>
              <w:top w:val="single" w:color="auto" w:sz="4" w:space="0"/>
              <w:left w:val="single" w:color="auto" w:sz="4" w:space="0"/>
              <w:bottom w:val="single" w:color="auto" w:sz="4" w:space="0"/>
              <w:right w:val="single" w:color="auto" w:sz="4" w:space="0"/>
            </w:tcBorders>
            <w:shd w:val="clear" w:color="auto" w:fill="auto"/>
            <w:vAlign w:val="top"/>
          </w:tcPr>
          <w:p w14:paraId="2BDDE2E1">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合计</w:t>
            </w:r>
          </w:p>
        </w:tc>
        <w:tc>
          <w:tcPr>
            <w:tcW w:w="1674" w:type="dxa"/>
            <w:tcBorders>
              <w:top w:val="single" w:color="auto" w:sz="4" w:space="0"/>
              <w:left w:val="single" w:color="auto" w:sz="4" w:space="0"/>
              <w:bottom w:val="single" w:color="auto" w:sz="4" w:space="0"/>
              <w:right w:val="single" w:color="auto" w:sz="4" w:space="0"/>
            </w:tcBorders>
            <w:shd w:val="clear" w:color="auto" w:fill="auto"/>
            <w:vAlign w:val="center"/>
          </w:tcPr>
          <w:p w14:paraId="6B2B76A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4378300</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.00</w:t>
            </w:r>
          </w:p>
        </w:tc>
        <w:tc>
          <w:tcPr>
            <w:tcW w:w="1272" w:type="dxa"/>
            <w:tcBorders>
              <w:top w:val="single" w:color="auto" w:sz="4" w:space="0"/>
              <w:left w:val="single" w:color="auto" w:sz="4" w:space="0"/>
              <w:bottom w:val="single" w:color="auto" w:sz="4" w:space="0"/>
              <w:right w:val="single" w:color="auto" w:sz="4" w:space="0"/>
            </w:tcBorders>
            <w:shd w:val="clear" w:color="auto" w:fill="auto"/>
            <w:vAlign w:val="center"/>
          </w:tcPr>
          <w:p w14:paraId="5687D779">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t>42</w:t>
            </w: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29702.00</w:t>
            </w:r>
          </w:p>
        </w:tc>
        <w:tc>
          <w:tcPr>
            <w:tcW w:w="1728" w:type="dxa"/>
            <w:tcBorders>
              <w:top w:val="single" w:color="auto" w:sz="4" w:space="0"/>
              <w:left w:val="single" w:color="auto" w:sz="4" w:space="0"/>
              <w:bottom w:val="single" w:color="auto" w:sz="4" w:space="0"/>
              <w:right w:val="single" w:color="auto" w:sz="4" w:space="0"/>
            </w:tcBorders>
            <w:shd w:val="clear" w:color="auto" w:fill="auto"/>
            <w:vAlign w:val="center"/>
          </w:tcPr>
          <w:p w14:paraId="45807B53">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440" w:lineRule="exact"/>
              <w:ind w:left="0" w:right="0"/>
              <w:contextualSpacing/>
              <w:jc w:val="center"/>
              <w:textAlignment w:val="auto"/>
              <w:outlineLvl w:val="9"/>
              <w:rPr>
                <w:rFonts w:hint="default" w:ascii="Times New Roman Regular" w:hAnsi="Times New Roman Regular" w:cs="Times New Roman Regular"/>
                <w:color w:val="auto"/>
                <w:kern w:val="0"/>
                <w:sz w:val="22"/>
                <w:szCs w:val="22"/>
                <w:highlight w:val="none"/>
                <w:shd w:val="clear" w:color="auto" w:fill="FFFFFF"/>
                <w:vertAlign w:val="baseline"/>
                <w:lang w:val="en-US" w:eastAsia="zh-CN"/>
              </w:rPr>
            </w:pPr>
            <w:r>
              <w:rPr>
                <w:rFonts w:hint="eastAsia" w:ascii="Times New Roman Regular" w:hAnsi="Times New Roman Regular" w:cs="Times New Roman Regular"/>
                <w:color w:val="auto"/>
                <w:kern w:val="0"/>
                <w:sz w:val="22"/>
                <w:szCs w:val="22"/>
                <w:highlight w:val="none"/>
                <w:shd w:val="clear" w:color="auto" w:fill="FFFFFF"/>
                <w:vertAlign w:val="baseline"/>
                <w:lang w:val="en-US" w:eastAsia="zh-CN"/>
              </w:rPr>
              <w:t>3104702.00</w:t>
            </w:r>
          </w:p>
        </w:tc>
      </w:tr>
    </w:tbl>
    <w:p w14:paraId="6E6A6C2E">
      <w:pPr>
        <w:keepNext w:val="0"/>
        <w:keepLines w:val="0"/>
        <w:pageBreakBefore w:val="0"/>
        <w:widowControl/>
        <w:kinsoku/>
        <w:wordWrap/>
        <w:overflowPunct/>
        <w:topLinePunct w:val="0"/>
        <w:autoSpaceDE/>
        <w:autoSpaceDN/>
        <w:bidi w:val="0"/>
        <w:adjustRightInd w:val="0"/>
        <w:snapToGrid w:val="0"/>
        <w:spacing w:line="440" w:lineRule="exact"/>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p>
    <w:p w14:paraId="2A38CF9C">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eastAsia"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（四）绩效结果应用情况</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p>
    <w:p w14:paraId="781A7C3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为进一步加强预算绩效管理，提高本单位预算绩效目标管理的科学性、规范性和有效性，根据《中华人民共和国预算法》《四川省财政厅关于印发〈四川省省级预算绩效目标管理办法〉的通知》（川财绩〔2017〕5号）等有关规定，结合本单位实际，制定《达古冰川管理局预算绩效目标管理制度》。</w:t>
      </w:r>
    </w:p>
    <w:p w14:paraId="3299F3E7">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zh-CN" w:eastAsia="zh-CN"/>
        </w:rPr>
      </w:pPr>
      <w:r>
        <w:rPr>
          <w:rFonts w:hint="eastAsia" w:ascii="仿宋_GB2312" w:hAnsi="仿宋_GB2312" w:eastAsia="仿宋_GB2312" w:cs="仿宋_GB2312"/>
          <w:b w:val="0"/>
          <w:bCs w:val="0"/>
          <w:color w:val="000000"/>
          <w:sz w:val="31"/>
          <w:szCs w:val="31"/>
          <w:lang w:val="en-US" w:eastAsia="zh-CN"/>
        </w:rPr>
        <w:t>本单位在2023年基本完成单位的年度任务，明确预算编制、预算分解、预算执行与分析、预算调整、决算管理、预算绩效管理及预决算信息公开管理等业务环节的管理要求，加强预算业务各环节的风险管控，并在日常的各个任务间提升本单位的自身素质，加强财务制度落实，提升财务业务水平，做好资料管理，推动工作高效开展</w:t>
      </w:r>
      <w:r>
        <w:rPr>
          <w:rFonts w:hint="eastAsia" w:ascii="仿宋_GB2312" w:hAnsi="仿宋_GB2312" w:eastAsia="仿宋_GB2312" w:cs="仿宋_GB2312"/>
          <w:b w:val="0"/>
          <w:bCs w:val="0"/>
          <w:color w:val="000000"/>
          <w:sz w:val="31"/>
          <w:szCs w:val="31"/>
          <w:lang w:val="zh-CN" w:eastAsia="zh-CN"/>
        </w:rPr>
        <w:t>。</w:t>
      </w:r>
    </w:p>
    <w:p w14:paraId="4C65CD83">
      <w:pPr>
        <w:keepNext w:val="0"/>
        <w:keepLines w:val="0"/>
        <w:pageBreakBefore w:val="0"/>
        <w:widowControl/>
        <w:kinsoku/>
        <w:wordWrap/>
        <w:overflowPunct/>
        <w:topLinePunct w:val="0"/>
        <w:autoSpaceDE/>
        <w:autoSpaceDN/>
        <w:bidi w:val="0"/>
        <w:adjustRightInd w:val="0"/>
        <w:snapToGrid w:val="0"/>
        <w:spacing w:line="440" w:lineRule="exact"/>
        <w:ind w:firstLine="640" w:firstLineChars="200"/>
        <w:contextualSpacing/>
        <w:jc w:val="both"/>
        <w:textAlignment w:val="auto"/>
        <w:outlineLvl w:val="9"/>
        <w:rPr>
          <w:rFonts w:hint="default" w:ascii="Times New Roman" w:hAnsi="Times New Roman" w:eastAsia="黑体" w:cs="Times New Roman"/>
          <w:color w:val="auto"/>
          <w:kern w:val="0"/>
          <w:sz w:val="32"/>
          <w:szCs w:val="32"/>
          <w:highlight w:val="none"/>
          <w:shd w:val="clear" w:color="auto" w:fill="FFFFFF"/>
          <w:lang w:val="en-US" w:eastAsia="zh-CN"/>
        </w:rPr>
      </w:pPr>
      <w:r>
        <w:rPr>
          <w:rFonts w:hint="default" w:ascii="Times New Roman" w:hAnsi="Times New Roman" w:eastAsia="黑体" w:cs="Times New Roman"/>
          <w:color w:val="auto"/>
          <w:kern w:val="0"/>
          <w:sz w:val="32"/>
          <w:szCs w:val="32"/>
          <w:highlight w:val="none"/>
          <w:shd w:val="clear" w:color="auto" w:fill="FFFFFF"/>
          <w:lang w:val="en-US" w:eastAsia="zh-CN"/>
        </w:rPr>
        <w:t>四、评价结论及建议</w:t>
      </w:r>
    </w:p>
    <w:p w14:paraId="1E1C7A0D">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（一）评价结论。</w:t>
      </w:r>
    </w:p>
    <w:p w14:paraId="6413BDF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履职效果和预算管理效果较好，财务管理、资产管理、采购管理规范，项目决策程序严格，项目执行进度良好，绩效目标实现程度良好。根据《阿坝州财政局关于开展2024年州级部门绩效自评工作的通知》中部门整体支出绩效评价指标体系，2023年度自评得分91.37分。</w:t>
      </w:r>
    </w:p>
    <w:p w14:paraId="024ADFAB">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eastAsia" w:ascii="Times New Roman" w:hAnsi="Times New Roman" w:eastAsia="楷体_GB2312" w:cs="Times New Roman"/>
          <w:b/>
          <w:bCs/>
          <w:color w:val="auto"/>
          <w:kern w:val="0"/>
          <w:sz w:val="32"/>
          <w:szCs w:val="32"/>
          <w:highlight w:val="none"/>
          <w:shd w:val="clear" w:color="auto" w:fill="FFFFFF"/>
          <w:lang w:val="en-US" w:eastAsia="zh-CN"/>
        </w:rPr>
        <w:t>二</w:t>
      </w:r>
      <w:r>
        <w:rPr>
          <w:rFonts w:hint="eastAsia" w:ascii="Times New Roman" w:hAnsi="Times New Roman" w:eastAsia="楷体_GB2312" w:cs="Times New Roman"/>
          <w:b/>
          <w:bCs/>
          <w:color w:val="auto"/>
          <w:kern w:val="0"/>
          <w:sz w:val="32"/>
          <w:szCs w:val="32"/>
          <w:highlight w:val="none"/>
          <w:shd w:val="clear" w:color="auto" w:fill="FFFFFF"/>
          <w:lang w:val="zh-CN" w:eastAsia="zh-CN"/>
        </w:rPr>
        <w:t>）</w:t>
      </w:r>
      <w:r>
        <w:rPr>
          <w:rFonts w:hint="default" w:ascii="Times New Roman" w:hAnsi="Times New Roman" w:eastAsia="楷体_GB2312" w:cs="Times New Roman"/>
          <w:b/>
          <w:bCs/>
          <w:color w:val="auto"/>
          <w:kern w:val="0"/>
          <w:sz w:val="32"/>
          <w:szCs w:val="32"/>
          <w:highlight w:val="none"/>
          <w:shd w:val="clear" w:color="auto" w:fill="FFFFFF"/>
          <w:lang w:val="zh-CN" w:eastAsia="zh-CN"/>
        </w:rPr>
        <w:t>存在问题。</w:t>
      </w:r>
    </w:p>
    <w:p w14:paraId="3CC4829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1.预算编制不够准确</w:t>
      </w:r>
    </w:p>
    <w:p w14:paraId="302A188C">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本单位年初在编制单位预算时，缺乏充分调研和科学论证，导致预算金额与实际需求存在差异，例如2023年政府采购预算总额437.83万元，预算执行数为310.58万元，预算采购偏离度较高。</w:t>
      </w:r>
    </w:p>
    <w:p w14:paraId="17FB9916">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2.预算支出执行进度有待提升</w:t>
      </w:r>
    </w:p>
    <w:p w14:paraId="7260703E">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本单位2023年年初预算3814.59万元，</w:t>
      </w:r>
      <w:r>
        <w:rPr>
          <w:rFonts w:hint="default" w:ascii="仿宋_GB2312" w:hAnsi="仿宋_GB2312" w:eastAsia="仿宋_GB2312" w:cs="仿宋_GB2312"/>
          <w:b w:val="0"/>
          <w:bCs w:val="0"/>
          <w:color w:val="000000"/>
          <w:sz w:val="31"/>
          <w:szCs w:val="31"/>
          <w:lang w:val="en-US" w:eastAsia="zh-CN"/>
        </w:rPr>
        <w:t>1至6月预算执行数1482.88万元</w:t>
      </w:r>
      <w:r>
        <w:rPr>
          <w:rFonts w:hint="eastAsia" w:ascii="仿宋_GB2312" w:hAnsi="仿宋_GB2312" w:eastAsia="仿宋_GB2312" w:cs="仿宋_GB2312"/>
          <w:b w:val="0"/>
          <w:bCs w:val="0"/>
          <w:color w:val="000000"/>
          <w:sz w:val="31"/>
          <w:szCs w:val="31"/>
          <w:lang w:val="en-US" w:eastAsia="zh-CN"/>
        </w:rPr>
        <w:t>，预算执行率为38.87%；1至10月预算执行数2711.42万元，预算执行率为71.08%，预算执行进度与预期存在一定差距。</w:t>
      </w:r>
    </w:p>
    <w:p w14:paraId="18A03CD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3.一般性支出控制率较高</w:t>
      </w:r>
    </w:p>
    <w:p w14:paraId="381341D8">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2023</w:t>
      </w:r>
      <w:r>
        <w:rPr>
          <w:rFonts w:hint="default" w:ascii="仿宋_GB2312" w:hAnsi="仿宋_GB2312" w:eastAsia="仿宋_GB2312" w:cs="仿宋_GB2312"/>
          <w:b w:val="0"/>
          <w:bCs w:val="0"/>
          <w:color w:val="000000"/>
          <w:sz w:val="31"/>
          <w:szCs w:val="31"/>
          <w:lang w:val="en-US" w:eastAsia="zh-CN"/>
        </w:rPr>
        <w:t>年预算安排“三公”经费、会议、培训、差旅、办节办展、办公设备购置、信息网络及软件购置更新、课题经费等8项一般性支出总额299.48万元，实际支出333.65万元</w:t>
      </w:r>
      <w:r>
        <w:rPr>
          <w:rFonts w:hint="eastAsia" w:ascii="仿宋_GB2312" w:hAnsi="仿宋_GB2312" w:eastAsia="仿宋_GB2312" w:cs="仿宋_GB2312"/>
          <w:b w:val="0"/>
          <w:bCs w:val="0"/>
          <w:color w:val="000000"/>
          <w:sz w:val="31"/>
          <w:szCs w:val="31"/>
          <w:lang w:val="en-US" w:eastAsia="zh-CN"/>
        </w:rPr>
        <w:t>；2022年预算安排“三公”经费、会议、培训、差旅、办节办展、办公设备购置、信息网络及软件购置更新、课题经费等8项一般性支出总额281.64万元，实际支出211.77万元。</w:t>
      </w:r>
      <w:r>
        <w:rPr>
          <w:rFonts w:hint="default" w:ascii="仿宋_GB2312" w:hAnsi="仿宋_GB2312" w:eastAsia="仿宋_GB2312" w:cs="仿宋_GB2312"/>
          <w:b w:val="0"/>
          <w:bCs w:val="0"/>
          <w:color w:val="000000"/>
          <w:sz w:val="31"/>
          <w:szCs w:val="31"/>
          <w:lang w:val="en-US" w:eastAsia="zh-CN"/>
        </w:rPr>
        <w:t>一般性支出财政拨款年初预算</w:t>
      </w:r>
      <w:r>
        <w:rPr>
          <w:rFonts w:hint="eastAsia" w:ascii="仿宋_GB2312" w:hAnsi="仿宋_GB2312" w:eastAsia="仿宋_GB2312" w:cs="仿宋_GB2312"/>
          <w:b w:val="0"/>
          <w:bCs w:val="0"/>
          <w:color w:val="000000"/>
          <w:sz w:val="31"/>
          <w:szCs w:val="31"/>
          <w:lang w:val="en-US" w:eastAsia="zh-CN"/>
        </w:rPr>
        <w:t>和一般性支出财政拨款预算执行较上年均</w:t>
      </w:r>
      <w:r>
        <w:rPr>
          <w:rFonts w:hint="default" w:ascii="仿宋_GB2312" w:hAnsi="仿宋_GB2312" w:eastAsia="仿宋_GB2312" w:cs="仿宋_GB2312"/>
          <w:b w:val="0"/>
          <w:bCs w:val="0"/>
          <w:color w:val="000000"/>
          <w:sz w:val="31"/>
          <w:szCs w:val="31"/>
          <w:lang w:val="en-US" w:eastAsia="zh-CN"/>
        </w:rPr>
        <w:t>未实现压减</w:t>
      </w:r>
      <w:r>
        <w:rPr>
          <w:rFonts w:hint="eastAsia" w:ascii="仿宋_GB2312" w:hAnsi="仿宋_GB2312" w:eastAsia="仿宋_GB2312" w:cs="仿宋_GB2312"/>
          <w:b w:val="0"/>
          <w:bCs w:val="0"/>
          <w:color w:val="000000"/>
          <w:sz w:val="31"/>
          <w:szCs w:val="31"/>
          <w:lang w:val="en-US" w:eastAsia="zh-CN"/>
        </w:rPr>
        <w:t>。</w:t>
      </w:r>
    </w:p>
    <w:p w14:paraId="64892308">
      <w:pPr>
        <w:keepNext w:val="0"/>
        <w:keepLines w:val="0"/>
        <w:pageBreakBefore w:val="0"/>
        <w:widowControl/>
        <w:kinsoku/>
        <w:wordWrap/>
        <w:overflowPunct/>
        <w:topLinePunct w:val="0"/>
        <w:autoSpaceDE/>
        <w:autoSpaceDN/>
        <w:bidi w:val="0"/>
        <w:adjustRightInd w:val="0"/>
        <w:snapToGrid w:val="0"/>
        <w:spacing w:line="440" w:lineRule="exact"/>
        <w:ind w:firstLine="643" w:firstLineChars="200"/>
        <w:contextualSpacing/>
        <w:jc w:val="left"/>
        <w:textAlignment w:val="auto"/>
        <w:outlineLvl w:val="9"/>
        <w:rPr>
          <w:rFonts w:hint="default" w:ascii="Times New Roman" w:hAnsi="Times New Roman" w:eastAsia="楷体_GB2312" w:cs="Times New Roman"/>
          <w:b/>
          <w:bCs/>
          <w:color w:val="auto"/>
          <w:kern w:val="0"/>
          <w:sz w:val="32"/>
          <w:szCs w:val="32"/>
          <w:highlight w:val="none"/>
          <w:shd w:val="clear" w:color="auto" w:fill="FFFFFF"/>
          <w:lang w:val="zh-CN" w:eastAsia="zh-CN"/>
        </w:rPr>
      </w:pPr>
      <w:r>
        <w:rPr>
          <w:rFonts w:hint="default" w:ascii="Times New Roman" w:hAnsi="Times New Roman" w:eastAsia="楷体_GB2312" w:cs="Times New Roman"/>
          <w:b/>
          <w:bCs/>
          <w:color w:val="auto"/>
          <w:kern w:val="0"/>
          <w:sz w:val="32"/>
          <w:szCs w:val="32"/>
          <w:highlight w:val="none"/>
          <w:shd w:val="clear" w:color="auto" w:fill="FFFFFF"/>
          <w:lang w:val="zh-CN" w:eastAsia="zh-CN"/>
        </w:rPr>
        <w:t>（三）改进建议。</w:t>
      </w:r>
      <w:bookmarkStart w:id="49" w:name="_Hlk110546638"/>
    </w:p>
    <w:p w14:paraId="508F269A">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1.提高预算编制质量</w:t>
      </w:r>
    </w:p>
    <w:p w14:paraId="312FE72E">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一是加强预算编制的调研和论证工作，确保预算金额与实际需求相符。二是严格执行预算计划，避免随意调整预算和超预算支出。三是加强部门之间的政策协调和沟通，确保政府采购政策与其他相关政策保持一致。同时，加强与市场的沟通和联系，及时了解市场需求和变化，为预算编制提供有力支持。</w:t>
      </w:r>
    </w:p>
    <w:p w14:paraId="34442DD9">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2.提高预算支出执行的效率</w:t>
      </w:r>
    </w:p>
    <w:p w14:paraId="64FBF2F3">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一是定期监控和评估。建立定期监控机制，定期评估预算执行进度，及时发现和解决问题；使用预算管理软件或工具进行实时监控和数据分析。二是</w:t>
      </w:r>
      <w:r>
        <w:rPr>
          <w:rFonts w:hint="default" w:ascii="仿宋_GB2312" w:hAnsi="仿宋_GB2312" w:eastAsia="仿宋_GB2312" w:cs="仿宋_GB2312"/>
          <w:b w:val="0"/>
          <w:bCs w:val="0"/>
          <w:color w:val="000000"/>
          <w:sz w:val="31"/>
          <w:szCs w:val="31"/>
          <w:lang w:val="en-US" w:eastAsia="zh-CN"/>
        </w:rPr>
        <w:t>明确责任和目标</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将预算执行目标分解到各个部门和个人，明确责任，确保每个环节都有具体的执行人</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设定明确的阶段性目标和时间节点，逐步推进预算执行。</w:t>
      </w:r>
      <w:r>
        <w:rPr>
          <w:rFonts w:hint="eastAsia" w:ascii="仿宋_GB2312" w:hAnsi="仿宋_GB2312" w:eastAsia="仿宋_GB2312" w:cs="仿宋_GB2312"/>
          <w:b w:val="0"/>
          <w:bCs w:val="0"/>
          <w:color w:val="000000"/>
          <w:sz w:val="31"/>
          <w:szCs w:val="31"/>
          <w:lang w:val="en-US" w:eastAsia="zh-CN"/>
        </w:rPr>
        <w:t>三是</w:t>
      </w:r>
      <w:r>
        <w:rPr>
          <w:rFonts w:hint="default" w:ascii="仿宋_GB2312" w:hAnsi="仿宋_GB2312" w:eastAsia="仿宋_GB2312" w:cs="仿宋_GB2312"/>
          <w:b w:val="0"/>
          <w:bCs w:val="0"/>
          <w:color w:val="000000"/>
          <w:sz w:val="31"/>
          <w:szCs w:val="31"/>
          <w:lang w:val="en-US" w:eastAsia="zh-CN"/>
        </w:rPr>
        <w:t>加强预算调整机制</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建立灵活的预算调整机制，根据实际情况及时调整预算，确保预算执行更加灵活高效</w:t>
      </w:r>
      <w:r>
        <w:rPr>
          <w:rFonts w:hint="eastAsia" w:ascii="仿宋_GB2312" w:hAnsi="仿宋_GB2312" w:eastAsia="仿宋_GB2312" w:cs="仿宋_GB2312"/>
          <w:b w:val="0"/>
          <w:bCs w:val="0"/>
          <w:color w:val="000000"/>
          <w:sz w:val="31"/>
          <w:szCs w:val="31"/>
          <w:lang w:val="en-US" w:eastAsia="zh-CN"/>
        </w:rPr>
        <w:t>；</w:t>
      </w:r>
      <w:r>
        <w:rPr>
          <w:rFonts w:hint="default" w:ascii="仿宋_GB2312" w:hAnsi="仿宋_GB2312" w:eastAsia="仿宋_GB2312" w:cs="仿宋_GB2312"/>
          <w:b w:val="0"/>
          <w:bCs w:val="0"/>
          <w:color w:val="000000"/>
          <w:sz w:val="31"/>
          <w:szCs w:val="31"/>
          <w:lang w:val="en-US" w:eastAsia="zh-CN"/>
        </w:rPr>
        <w:t>对执行过程中发现的预算不足或剩余进行科学调整，优化资源配置</w:t>
      </w:r>
      <w:r>
        <w:rPr>
          <w:rFonts w:hint="eastAsia" w:ascii="仿宋_GB2312" w:hAnsi="仿宋_GB2312" w:eastAsia="仿宋_GB2312" w:cs="仿宋_GB2312"/>
          <w:b w:val="0"/>
          <w:bCs w:val="0"/>
          <w:color w:val="000000"/>
          <w:sz w:val="31"/>
          <w:szCs w:val="31"/>
          <w:lang w:val="en-US" w:eastAsia="zh-CN"/>
        </w:rPr>
        <w:t>。</w:t>
      </w:r>
    </w:p>
    <w:p w14:paraId="60D0B3F5">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default"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3.强化预算管理，提高部门预算编制准确性</w:t>
      </w:r>
    </w:p>
    <w:bookmarkEnd w:id="49"/>
    <w:p w14:paraId="7F878F23">
      <w:pPr>
        <w:keepNext w:val="0"/>
        <w:keepLines w:val="0"/>
        <w:pageBreakBefore w:val="0"/>
        <w:widowControl/>
        <w:kinsoku/>
        <w:wordWrap/>
        <w:overflowPunct/>
        <w:topLinePunct w:val="0"/>
        <w:autoSpaceDE/>
        <w:autoSpaceDN/>
        <w:bidi w:val="0"/>
        <w:adjustRightInd w:val="0"/>
        <w:snapToGrid w:val="0"/>
        <w:spacing w:line="440" w:lineRule="exact"/>
        <w:ind w:firstLine="620" w:firstLineChars="200"/>
        <w:contextualSpacing/>
        <w:jc w:val="both"/>
        <w:textAlignment w:val="auto"/>
        <w:outlineLvl w:val="9"/>
        <w:rPr>
          <w:rFonts w:hint="eastAsia" w:ascii="仿宋_GB2312" w:hAnsi="仿宋_GB2312" w:eastAsia="仿宋_GB2312" w:cs="仿宋_GB2312"/>
          <w:b w:val="0"/>
          <w:bCs w:val="0"/>
          <w:color w:val="000000"/>
          <w:sz w:val="31"/>
          <w:szCs w:val="31"/>
          <w:lang w:val="en-US" w:eastAsia="zh-CN"/>
        </w:rPr>
      </w:pPr>
      <w:r>
        <w:rPr>
          <w:rFonts w:hint="eastAsia" w:ascii="仿宋_GB2312" w:hAnsi="仿宋_GB2312" w:eastAsia="仿宋_GB2312" w:cs="仿宋_GB2312"/>
          <w:b w:val="0"/>
          <w:bCs w:val="0"/>
          <w:color w:val="000000"/>
          <w:sz w:val="31"/>
          <w:szCs w:val="31"/>
          <w:lang w:val="en-US" w:eastAsia="zh-CN"/>
        </w:rPr>
        <w:t>一是细化预算编制。进一步完善基本支出、项目支出等各项支出标准，健全各项资产配备标准，完善公用经费管理的支出管理规范，从制度层面约束支出行为。二是加强资金支付审核。强化预算刚性，对公用经费严格控制调整追加，坚持先有预算后有支出，不符合财政财务制度规定的支出，做到不予报销，减少压缩直接用于公务活动的支出。三是健全预算公开制度。明确包括公用经费在内的部门预算支出情况，公开的时间、形式及细化程度应规范统一要求，细化公用经费的解释说明，逐步扩大公开范围。</w:t>
      </w:r>
    </w:p>
    <w:p w14:paraId="7E2F16A1">
      <w:pPr>
        <w:pageBreakBefore w:val="0"/>
        <w:kinsoku/>
        <w:wordWrap/>
        <w:overflowPunct/>
        <w:topLinePunct w:val="0"/>
        <w:bidi w:val="0"/>
        <w:spacing w:line="440" w:lineRule="exact"/>
        <w:ind w:left="0" w:leftChars="0" w:firstLine="0" w:firstLineChars="0"/>
        <w:rPr>
          <w:rFonts w:hint="eastAsia" w:cs="Times New Roman"/>
          <w:color w:val="auto"/>
          <w:kern w:val="0"/>
          <w:szCs w:val="32"/>
          <w:highlight w:val="none"/>
          <w:shd w:val="clear" w:color="auto" w:fill="FFFFFF"/>
          <w:lang w:val="en-US" w:eastAsia="zh-CN"/>
        </w:rPr>
      </w:pPr>
    </w:p>
    <w:p w14:paraId="29FBE500">
      <w:pPr>
        <w:keepNext w:val="0"/>
        <w:keepLines w:val="0"/>
        <w:pageBreakBefore w:val="0"/>
        <w:widowControl/>
        <w:kinsoku/>
        <w:wordWrap/>
        <w:overflowPunct/>
        <w:topLinePunct w:val="0"/>
        <w:autoSpaceDE/>
        <w:autoSpaceDN/>
        <w:bidi w:val="0"/>
        <w:adjustRightInd w:val="0"/>
        <w:snapToGrid w:val="0"/>
        <w:spacing w:line="440" w:lineRule="exact"/>
        <w:contextualSpacing/>
        <w:jc w:val="both"/>
        <w:textAlignment w:val="auto"/>
        <w:outlineLvl w:val="9"/>
        <w:rPr>
          <w:rFonts w:hint="eastAsia" w:ascii="仿宋_GB2312" w:hAnsi="仿宋_GB2312" w:eastAsia="仿宋_GB2312" w:cs="仿宋_GB2312"/>
          <w:b w:val="0"/>
          <w:bCs w:val="0"/>
          <w:color w:val="000000"/>
          <w:sz w:val="31"/>
          <w:szCs w:val="31"/>
          <w:lang w:val="en-US" w:eastAsia="zh-CN"/>
        </w:rPr>
        <w:sectPr>
          <w:headerReference r:id="rId4" w:type="first"/>
          <w:footerReference r:id="rId5" w:type="first"/>
          <w:headerReference r:id="rId3" w:type="default"/>
          <w:pgSz w:w="11906" w:h="16838"/>
          <w:pgMar w:top="2098" w:right="1474" w:bottom="1984" w:left="1587" w:header="851" w:footer="992" w:gutter="0"/>
          <w:pgNumType w:fmt="decimal" w:start="1"/>
          <w:cols w:space="425" w:num="1"/>
          <w:docGrid w:type="lines" w:linePitch="435" w:charSpace="0"/>
        </w:sectPr>
      </w:pPr>
    </w:p>
    <w:p w14:paraId="3B0A3391">
      <w:pPr>
        <w:keepNext w:val="0"/>
        <w:keepLines w:val="0"/>
        <w:pageBreakBefore w:val="0"/>
        <w:widowControl w:val="0"/>
        <w:suppressLineNumbers w:val="0"/>
        <w:kinsoku/>
        <w:wordWrap/>
        <w:overflowPunct/>
        <w:topLinePunct w:val="0"/>
        <w:bidi w:val="0"/>
        <w:spacing w:before="0" w:beforeAutospacing="0" w:after="0" w:afterAutospacing="0" w:line="440" w:lineRule="exact"/>
        <w:ind w:left="0" w:right="0"/>
        <w:jc w:val="both"/>
        <w:rPr>
          <w:rFonts w:hint="default"/>
          <w:color w:val="auto"/>
          <w:lang w:val="en-US" w:eastAsia="zh-CN"/>
        </w:rPr>
      </w:pPr>
      <w:r>
        <w:rPr>
          <w:rFonts w:hint="eastAsia" w:ascii="黑体" w:hAnsi="宋体" w:eastAsia="黑体" w:cs="黑体"/>
          <w:color w:val="auto"/>
          <w:kern w:val="2"/>
          <w:sz w:val="32"/>
          <w:szCs w:val="32"/>
          <w:lang w:val="en-US" w:eastAsia="zh-CN" w:bidi="ar"/>
        </w:rPr>
        <w:t>附表</w:t>
      </w:r>
    </w:p>
    <w:tbl>
      <w:tblPr>
        <w:tblStyle w:val="17"/>
        <w:tblW w:w="8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843"/>
        <w:gridCol w:w="998"/>
        <w:gridCol w:w="1082"/>
        <w:gridCol w:w="1612"/>
        <w:gridCol w:w="2273"/>
        <w:gridCol w:w="1512"/>
      </w:tblGrid>
      <w:tr w14:paraId="13DE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678" w:hRule="atLeast"/>
          <w:jc w:val="center"/>
        </w:trPr>
        <w:tc>
          <w:tcPr>
            <w:tcW w:w="8320" w:type="dxa"/>
            <w:gridSpan w:val="6"/>
            <w:shd w:val="clear" w:color="auto" w:fill="auto"/>
            <w:vAlign w:val="center"/>
          </w:tcPr>
          <w:p w14:paraId="0BE471A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jc w:val="center"/>
              <w:textAlignment w:val="center"/>
              <w:rPr>
                <w:rFonts w:hint="eastAsia" w:ascii="仿宋_GB2312" w:eastAsia="仿宋_GB2312" w:cs="仿宋_GB2312"/>
                <w:i w:val="0"/>
                <w:color w:val="auto"/>
                <w:kern w:val="2"/>
                <w:sz w:val="21"/>
                <w:szCs w:val="21"/>
              </w:rPr>
            </w:pPr>
            <w:r>
              <w:rPr>
                <w:rFonts w:hint="eastAsia" w:ascii="仿宋_GB2312" w:hAnsi="Times New Roman" w:eastAsia="仿宋_GB2312" w:cs="仿宋_GB2312"/>
                <w:i w:val="0"/>
                <w:color w:val="auto"/>
                <w:kern w:val="0"/>
                <w:sz w:val="21"/>
                <w:szCs w:val="21"/>
                <w:lang w:val="en-US" w:eastAsia="zh-CN" w:bidi="ar"/>
              </w:rPr>
              <w:t>部门整体支出绩效目标完成情况自评表</w:t>
            </w:r>
          </w:p>
        </w:tc>
      </w:tr>
      <w:tr w14:paraId="4D50E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2" w:hRule="atLeast"/>
          <w:jc w:val="center"/>
        </w:trPr>
        <w:tc>
          <w:tcPr>
            <w:tcW w:w="8320" w:type="dxa"/>
            <w:gridSpan w:val="6"/>
            <w:shd w:val="clear" w:color="auto" w:fill="auto"/>
            <w:vAlign w:val="center"/>
          </w:tcPr>
          <w:p w14:paraId="6AB1D43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jc w:val="center"/>
              <w:textAlignment w:val="center"/>
              <w:rPr>
                <w:rFonts w:hint="eastAsia" w:ascii="仿宋_GB2312" w:eastAsia="仿宋_GB2312" w:cs="仿宋_GB2312"/>
                <w:i w:val="0"/>
                <w:color w:val="auto"/>
                <w:kern w:val="2"/>
                <w:sz w:val="21"/>
                <w:szCs w:val="21"/>
              </w:rPr>
            </w:pPr>
            <w:r>
              <w:rPr>
                <w:rFonts w:hint="eastAsia" w:ascii="仿宋_GB2312" w:hAnsi="Times New Roman" w:eastAsia="仿宋_GB2312" w:cs="仿宋_GB2312"/>
                <w:i w:val="0"/>
                <w:color w:val="auto"/>
                <w:kern w:val="0"/>
                <w:sz w:val="21"/>
                <w:szCs w:val="21"/>
                <w:lang w:val="en-US" w:eastAsia="zh-CN" w:bidi="ar"/>
              </w:rPr>
              <w:t>（2023年度）</w:t>
            </w:r>
          </w:p>
        </w:tc>
      </w:tr>
      <w:tr w14:paraId="48EA9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2" w:hRule="atLeast"/>
          <w:jc w:val="center"/>
        </w:trPr>
        <w:tc>
          <w:tcPr>
            <w:tcW w:w="8320" w:type="dxa"/>
            <w:gridSpan w:val="6"/>
            <w:shd w:val="clear" w:color="auto" w:fill="auto"/>
            <w:vAlign w:val="center"/>
          </w:tcPr>
          <w:p w14:paraId="3156E6E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jc w:val="right"/>
              <w:textAlignment w:val="center"/>
              <w:rPr>
                <w:rFonts w:hint="eastAsia" w:ascii="仿宋_GB2312" w:eastAsia="仿宋_GB2312" w:cs="仿宋_GB2312"/>
                <w:i w:val="0"/>
                <w:color w:val="auto"/>
                <w:kern w:val="2"/>
                <w:sz w:val="21"/>
                <w:szCs w:val="21"/>
              </w:rPr>
            </w:pPr>
            <w:r>
              <w:rPr>
                <w:rFonts w:hint="eastAsia" w:ascii="仿宋_GB2312" w:hAnsi="Times New Roman" w:eastAsia="仿宋_GB2312" w:cs="仿宋_GB2312"/>
                <w:i w:val="0"/>
                <w:color w:val="auto"/>
                <w:kern w:val="0"/>
                <w:sz w:val="21"/>
                <w:szCs w:val="21"/>
                <w:lang w:val="en-US" w:eastAsia="zh-CN" w:bidi="ar"/>
              </w:rPr>
              <w:t>单位：万元</w:t>
            </w:r>
          </w:p>
        </w:tc>
      </w:tr>
      <w:tr w14:paraId="534CA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2" w:hRule="atLeast"/>
          <w:jc w:val="center"/>
        </w:trPr>
        <w:tc>
          <w:tcPr>
            <w:tcW w:w="1841" w:type="dxa"/>
            <w:gridSpan w:val="2"/>
            <w:shd w:val="clear" w:color="auto" w:fill="auto"/>
            <w:vAlign w:val="center"/>
          </w:tcPr>
          <w:p w14:paraId="03B404D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jc w:val="center"/>
              <w:textAlignment w:val="center"/>
              <w:rPr>
                <w:rFonts w:hint="eastAsia" w:ascii="仿宋_GB2312" w:eastAsia="仿宋_GB2312" w:cs="仿宋_GB2312"/>
                <w:i w:val="0"/>
                <w:color w:val="auto"/>
                <w:kern w:val="2"/>
                <w:sz w:val="21"/>
                <w:szCs w:val="21"/>
              </w:rPr>
            </w:pPr>
            <w:r>
              <w:rPr>
                <w:rFonts w:hint="eastAsia" w:ascii="仿宋_GB2312" w:hAnsi="Times New Roman" w:eastAsia="仿宋_GB2312" w:cs="仿宋_GB2312"/>
                <w:i w:val="0"/>
                <w:color w:val="auto"/>
                <w:kern w:val="0"/>
                <w:sz w:val="21"/>
                <w:szCs w:val="21"/>
                <w:lang w:val="en-US" w:eastAsia="zh-CN" w:bidi="ar"/>
              </w:rPr>
              <w:t>部门名称</w:t>
            </w:r>
          </w:p>
        </w:tc>
        <w:tc>
          <w:tcPr>
            <w:tcW w:w="6479" w:type="dxa"/>
            <w:gridSpan w:val="4"/>
            <w:shd w:val="clear" w:color="auto" w:fill="auto"/>
            <w:vAlign w:val="center"/>
          </w:tcPr>
          <w:p w14:paraId="0484AF8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jc w:val="center"/>
              <w:textAlignment w:val="center"/>
              <w:rPr>
                <w:rFonts w:hint="eastAsia" w:ascii="仿宋_GB2312" w:eastAsia="仿宋_GB2312" w:cs="仿宋_GB2312"/>
                <w:i w:val="0"/>
                <w:color w:val="auto"/>
                <w:kern w:val="2"/>
                <w:sz w:val="21"/>
                <w:szCs w:val="21"/>
              </w:rPr>
            </w:pPr>
            <w:r>
              <w:rPr>
                <w:rFonts w:hint="eastAsia" w:ascii="仿宋_GB2312" w:hAnsi="Times New Roman" w:eastAsia="仿宋_GB2312" w:cs="仿宋_GB2312"/>
                <w:i w:val="0"/>
                <w:color w:val="auto"/>
                <w:kern w:val="0"/>
                <w:sz w:val="21"/>
                <w:szCs w:val="21"/>
                <w:lang w:val="en-US" w:eastAsia="zh-CN" w:bidi="ar"/>
              </w:rPr>
              <w:t>达古冰川管理局部门</w:t>
            </w:r>
          </w:p>
        </w:tc>
      </w:tr>
      <w:tr w14:paraId="1B64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2" w:hRule="atLeast"/>
          <w:jc w:val="center"/>
        </w:trPr>
        <w:tc>
          <w:tcPr>
            <w:tcW w:w="843" w:type="dxa"/>
            <w:vMerge w:val="restart"/>
            <w:shd w:val="clear" w:color="auto" w:fill="auto"/>
            <w:vAlign w:val="center"/>
          </w:tcPr>
          <w:p w14:paraId="2B05715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年度部门整体支出预算</w:t>
            </w:r>
          </w:p>
        </w:tc>
        <w:tc>
          <w:tcPr>
            <w:tcW w:w="998" w:type="dxa"/>
            <w:shd w:val="clear" w:color="auto" w:fill="auto"/>
            <w:vAlign w:val="center"/>
          </w:tcPr>
          <w:p w14:paraId="02AD4FD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资金总额</w:t>
            </w:r>
          </w:p>
        </w:tc>
        <w:tc>
          <w:tcPr>
            <w:tcW w:w="2694" w:type="dxa"/>
            <w:gridSpan w:val="2"/>
            <w:shd w:val="clear" w:color="auto" w:fill="auto"/>
            <w:vAlign w:val="center"/>
          </w:tcPr>
          <w:p w14:paraId="1192144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财政拨款</w:t>
            </w:r>
          </w:p>
        </w:tc>
        <w:tc>
          <w:tcPr>
            <w:tcW w:w="2273" w:type="dxa"/>
            <w:shd w:val="clear" w:color="auto" w:fill="auto"/>
            <w:vAlign w:val="center"/>
          </w:tcPr>
          <w:p w14:paraId="3B00C8E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其他资金</w:t>
            </w:r>
          </w:p>
        </w:tc>
        <w:tc>
          <w:tcPr>
            <w:tcW w:w="1512" w:type="dxa"/>
            <w:shd w:val="clear" w:color="auto" w:fill="auto"/>
            <w:vAlign w:val="center"/>
          </w:tcPr>
          <w:p w14:paraId="2995751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p>
        </w:tc>
      </w:tr>
      <w:tr w14:paraId="6DE6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2" w:hRule="atLeast"/>
          <w:jc w:val="center"/>
        </w:trPr>
        <w:tc>
          <w:tcPr>
            <w:tcW w:w="843" w:type="dxa"/>
            <w:vMerge w:val="continue"/>
            <w:shd w:val="clear" w:color="auto" w:fill="auto"/>
            <w:vAlign w:val="center"/>
          </w:tcPr>
          <w:p w14:paraId="0B0414E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default" w:ascii="仿宋_GB2312" w:hAnsi="仿宋_GB2312" w:eastAsia="仿宋_GB2312" w:cs="仿宋_GB2312"/>
                <w:i w:val="0"/>
                <w:color w:val="auto"/>
                <w:kern w:val="0"/>
                <w:sz w:val="21"/>
                <w:szCs w:val="21"/>
                <w:lang w:val="en-US" w:eastAsia="zh-CN" w:bidi="ar"/>
              </w:rPr>
            </w:pPr>
          </w:p>
        </w:tc>
        <w:tc>
          <w:tcPr>
            <w:tcW w:w="998" w:type="dxa"/>
            <w:shd w:val="clear" w:color="auto" w:fill="auto"/>
            <w:vAlign w:val="center"/>
          </w:tcPr>
          <w:p w14:paraId="6988E0F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3814.59</w:t>
            </w:r>
          </w:p>
        </w:tc>
        <w:tc>
          <w:tcPr>
            <w:tcW w:w="2694" w:type="dxa"/>
            <w:gridSpan w:val="2"/>
            <w:shd w:val="clear" w:color="auto" w:fill="auto"/>
            <w:vAlign w:val="center"/>
          </w:tcPr>
          <w:p w14:paraId="7A0A2A2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3814.59</w:t>
            </w:r>
          </w:p>
        </w:tc>
        <w:tc>
          <w:tcPr>
            <w:tcW w:w="2273" w:type="dxa"/>
            <w:shd w:val="clear" w:color="auto" w:fill="auto"/>
            <w:vAlign w:val="center"/>
          </w:tcPr>
          <w:p w14:paraId="706D66F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0.00</w:t>
            </w:r>
          </w:p>
        </w:tc>
        <w:tc>
          <w:tcPr>
            <w:tcW w:w="1512" w:type="dxa"/>
            <w:shd w:val="clear" w:color="auto" w:fill="auto"/>
            <w:vAlign w:val="center"/>
          </w:tcPr>
          <w:p w14:paraId="6F4FABD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p>
        </w:tc>
      </w:tr>
      <w:tr w14:paraId="2A5FF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14" w:hRule="atLeast"/>
          <w:jc w:val="center"/>
        </w:trPr>
        <w:tc>
          <w:tcPr>
            <w:tcW w:w="843" w:type="dxa"/>
            <w:shd w:val="clear" w:color="auto" w:fill="auto"/>
            <w:vAlign w:val="center"/>
          </w:tcPr>
          <w:p w14:paraId="5E6F9BB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年度总体</w:t>
            </w:r>
          </w:p>
          <w:p w14:paraId="0EC5B89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目标</w:t>
            </w:r>
          </w:p>
        </w:tc>
        <w:tc>
          <w:tcPr>
            <w:tcW w:w="7477" w:type="dxa"/>
            <w:gridSpan w:val="5"/>
            <w:shd w:val="clear" w:color="auto" w:fill="auto"/>
            <w:vAlign w:val="center"/>
          </w:tcPr>
          <w:p w14:paraId="02E2599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1、保障人员经费支出和机关正常运行，使机关正常开展工作，为全局干部职工更好</w:t>
            </w:r>
            <w:r>
              <w:rPr>
                <w:rFonts w:hint="eastAsia" w:ascii="仿宋_GB2312" w:hAnsi="仿宋_GB2312" w:cs="仿宋_GB2312"/>
                <w:i w:val="0"/>
                <w:color w:val="auto"/>
                <w:kern w:val="0"/>
                <w:sz w:val="21"/>
                <w:szCs w:val="21"/>
                <w:lang w:val="en-US" w:eastAsia="zh-CN" w:bidi="ar"/>
              </w:rPr>
              <w:t>地</w:t>
            </w:r>
            <w:r>
              <w:rPr>
                <w:rFonts w:hint="eastAsia" w:ascii="仿宋_GB2312" w:hAnsi="仿宋_GB2312" w:eastAsia="仿宋_GB2312" w:cs="仿宋_GB2312"/>
                <w:i w:val="0"/>
                <w:color w:val="auto"/>
                <w:kern w:val="0"/>
                <w:sz w:val="21"/>
                <w:szCs w:val="21"/>
                <w:lang w:val="en-US" w:eastAsia="zh-CN" w:bidi="ar"/>
              </w:rPr>
              <w:t>履行工作职能提供保障。</w:t>
            </w:r>
          </w:p>
          <w:p w14:paraId="12FCE4B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2、加快景区发展，提升景区知名度。</w:t>
            </w:r>
          </w:p>
          <w:p w14:paraId="6ACCC98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3、加强对景区森林、野生动植物资源的保护。</w:t>
            </w:r>
          </w:p>
        </w:tc>
      </w:tr>
      <w:tr w14:paraId="09EB3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72" w:hRule="atLeast"/>
          <w:jc w:val="center"/>
        </w:trPr>
        <w:tc>
          <w:tcPr>
            <w:tcW w:w="843" w:type="dxa"/>
            <w:vMerge w:val="restart"/>
            <w:shd w:val="clear" w:color="auto" w:fill="auto"/>
            <w:vAlign w:val="center"/>
          </w:tcPr>
          <w:p w14:paraId="6399485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年度主要</w:t>
            </w:r>
          </w:p>
          <w:p w14:paraId="6AC668D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任务</w:t>
            </w:r>
          </w:p>
        </w:tc>
        <w:tc>
          <w:tcPr>
            <w:tcW w:w="2080" w:type="dxa"/>
            <w:gridSpan w:val="2"/>
            <w:shd w:val="clear" w:color="auto" w:fill="auto"/>
            <w:vAlign w:val="center"/>
          </w:tcPr>
          <w:p w14:paraId="7D2D845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任务名称</w:t>
            </w:r>
          </w:p>
        </w:tc>
        <w:tc>
          <w:tcPr>
            <w:tcW w:w="5397" w:type="dxa"/>
            <w:gridSpan w:val="3"/>
            <w:shd w:val="clear" w:color="auto" w:fill="auto"/>
            <w:vAlign w:val="center"/>
          </w:tcPr>
          <w:p w14:paraId="0F2148F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主要内容</w:t>
            </w:r>
          </w:p>
        </w:tc>
      </w:tr>
      <w:tr w14:paraId="37682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7E99EA9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default" w:ascii="仿宋_GB2312" w:hAnsi="仿宋_GB2312" w:eastAsia="仿宋_GB2312" w:cs="仿宋_GB2312"/>
                <w:i w:val="0"/>
                <w:color w:val="auto"/>
                <w:kern w:val="0"/>
                <w:sz w:val="21"/>
                <w:szCs w:val="21"/>
                <w:lang w:val="en-US" w:eastAsia="zh-CN" w:bidi="ar"/>
              </w:rPr>
            </w:pPr>
          </w:p>
        </w:tc>
        <w:tc>
          <w:tcPr>
            <w:tcW w:w="2080" w:type="dxa"/>
            <w:gridSpan w:val="2"/>
            <w:shd w:val="clear" w:color="auto" w:fill="auto"/>
            <w:vAlign w:val="top"/>
          </w:tcPr>
          <w:p w14:paraId="2D61DFD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细化各项管理制度，提升景区服务水平。</w:t>
            </w:r>
          </w:p>
        </w:tc>
        <w:tc>
          <w:tcPr>
            <w:tcW w:w="5397" w:type="dxa"/>
            <w:gridSpan w:val="3"/>
            <w:shd w:val="clear" w:color="auto" w:fill="auto"/>
            <w:vAlign w:val="top"/>
          </w:tcPr>
          <w:p w14:paraId="71B0F54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制定和完善各项管理制度，提升景区旅游服务水平。</w:t>
            </w:r>
          </w:p>
        </w:tc>
      </w:tr>
      <w:tr w14:paraId="3612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6" w:hRule="atLeast"/>
          <w:jc w:val="center"/>
        </w:trPr>
        <w:tc>
          <w:tcPr>
            <w:tcW w:w="843" w:type="dxa"/>
            <w:vMerge w:val="continue"/>
            <w:shd w:val="clear" w:color="auto" w:fill="auto"/>
            <w:vAlign w:val="center"/>
          </w:tcPr>
          <w:p w14:paraId="6EB4DB0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default" w:ascii="仿宋_GB2312" w:hAnsi="仿宋_GB2312" w:eastAsia="仿宋_GB2312" w:cs="仿宋_GB2312"/>
                <w:i w:val="0"/>
                <w:color w:val="auto"/>
                <w:kern w:val="0"/>
                <w:sz w:val="21"/>
                <w:szCs w:val="21"/>
                <w:lang w:val="en-US" w:eastAsia="zh-CN" w:bidi="ar"/>
              </w:rPr>
            </w:pPr>
          </w:p>
        </w:tc>
        <w:tc>
          <w:tcPr>
            <w:tcW w:w="2080" w:type="dxa"/>
            <w:gridSpan w:val="2"/>
            <w:shd w:val="clear" w:color="auto" w:fill="auto"/>
            <w:vAlign w:val="top"/>
          </w:tcPr>
          <w:p w14:paraId="0B6584A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完善景区基础设施建设，促进景区可持续发展。</w:t>
            </w:r>
          </w:p>
        </w:tc>
        <w:tc>
          <w:tcPr>
            <w:tcW w:w="5397" w:type="dxa"/>
            <w:gridSpan w:val="3"/>
            <w:shd w:val="clear" w:color="auto" w:fill="auto"/>
            <w:vAlign w:val="top"/>
          </w:tcPr>
          <w:p w14:paraId="7B7955E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加大景区基础设施建设，进一步完善景区基础配套设施，促进景区可持续发展。</w:t>
            </w:r>
          </w:p>
        </w:tc>
      </w:tr>
      <w:tr w14:paraId="08A1D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33" w:hRule="atLeast"/>
          <w:jc w:val="center"/>
        </w:trPr>
        <w:tc>
          <w:tcPr>
            <w:tcW w:w="843" w:type="dxa"/>
            <w:vMerge w:val="continue"/>
            <w:shd w:val="clear" w:color="auto" w:fill="auto"/>
            <w:vAlign w:val="center"/>
          </w:tcPr>
          <w:p w14:paraId="366E165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default" w:ascii="仿宋_GB2312" w:hAnsi="仿宋_GB2312" w:eastAsia="仿宋_GB2312" w:cs="仿宋_GB2312"/>
                <w:i w:val="0"/>
                <w:color w:val="auto"/>
                <w:kern w:val="0"/>
                <w:sz w:val="21"/>
                <w:szCs w:val="21"/>
                <w:lang w:val="en-US" w:eastAsia="zh-CN" w:bidi="ar"/>
              </w:rPr>
            </w:pPr>
          </w:p>
        </w:tc>
        <w:tc>
          <w:tcPr>
            <w:tcW w:w="2080" w:type="dxa"/>
            <w:gridSpan w:val="2"/>
            <w:shd w:val="clear" w:color="auto" w:fill="auto"/>
            <w:vAlign w:val="top"/>
          </w:tcPr>
          <w:p w14:paraId="595E2E5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落实管理责任，加强景区生态资源保护。</w:t>
            </w:r>
          </w:p>
        </w:tc>
        <w:tc>
          <w:tcPr>
            <w:tcW w:w="5397" w:type="dxa"/>
            <w:gridSpan w:val="3"/>
            <w:shd w:val="clear" w:color="auto" w:fill="auto"/>
            <w:vAlign w:val="top"/>
          </w:tcPr>
          <w:p w14:paraId="6D9FE68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一是贯彻落实森林草原防火责任制，建立和完善长效管理机制，确保实现森林火灾“零发生”。二是全面落实森林管护责任，积极开展巡山巡护活动，预防和遏制挖药、滥砍滥伐、采集等非法行为，确保区内生态资源安全。三是加大景区科研力度，扩大冰川保护面积。</w:t>
            </w:r>
          </w:p>
        </w:tc>
      </w:tr>
      <w:tr w14:paraId="614FD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33" w:hRule="atLeast"/>
          <w:jc w:val="center"/>
        </w:trPr>
        <w:tc>
          <w:tcPr>
            <w:tcW w:w="843" w:type="dxa"/>
            <w:vMerge w:val="continue"/>
            <w:shd w:val="clear" w:color="auto" w:fill="auto"/>
            <w:vAlign w:val="center"/>
          </w:tcPr>
          <w:p w14:paraId="0E32DC0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default" w:ascii="仿宋_GB2312" w:hAnsi="仿宋_GB2312" w:eastAsia="仿宋_GB2312" w:cs="仿宋_GB2312"/>
                <w:i w:val="0"/>
                <w:color w:val="auto"/>
                <w:kern w:val="0"/>
                <w:sz w:val="21"/>
                <w:szCs w:val="21"/>
                <w:lang w:val="en-US" w:eastAsia="zh-CN" w:bidi="ar"/>
              </w:rPr>
            </w:pPr>
          </w:p>
        </w:tc>
        <w:tc>
          <w:tcPr>
            <w:tcW w:w="2080" w:type="dxa"/>
            <w:gridSpan w:val="2"/>
            <w:shd w:val="clear" w:color="auto" w:fill="auto"/>
            <w:vAlign w:val="top"/>
          </w:tcPr>
          <w:p w14:paraId="33119DA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加大宣传力度，着力提高景区知名度。</w:t>
            </w:r>
          </w:p>
        </w:tc>
        <w:tc>
          <w:tcPr>
            <w:tcW w:w="5397" w:type="dxa"/>
            <w:gridSpan w:val="3"/>
            <w:shd w:val="clear" w:color="auto" w:fill="auto"/>
            <w:vAlign w:val="top"/>
          </w:tcPr>
          <w:p w14:paraId="67AB28E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一是持续深挖优势特色品牌，创新主题活动，进一步提炼景区特色，凸显“诗无达古、四季精彩”的主题，形成每季有主题、每月有亮点的营销节奏，快速提升景区人气与名气。二是拓展多维宣传空间渠道，稳固“网红”效应。三是打造线上线下销售渠道，提升招徕深度。</w:t>
            </w:r>
          </w:p>
        </w:tc>
      </w:tr>
    </w:tbl>
    <w:p w14:paraId="5274F0C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default" w:ascii="仿宋_GB2312" w:hAnsi="仿宋_GB2312" w:eastAsia="仿宋_GB2312" w:cs="仿宋_GB2312"/>
          <w:i w:val="0"/>
          <w:color w:val="auto"/>
          <w:kern w:val="0"/>
          <w:sz w:val="21"/>
          <w:szCs w:val="21"/>
          <w:lang w:val="en-US" w:eastAsia="zh-CN" w:bidi="ar"/>
        </w:rPr>
        <w:sectPr>
          <w:footerReference r:id="rId8" w:type="first"/>
          <w:headerReference r:id="rId6" w:type="default"/>
          <w:footerReference r:id="rId7" w:type="default"/>
          <w:pgSz w:w="11906" w:h="16838"/>
          <w:pgMar w:top="1440" w:right="1800" w:bottom="1440" w:left="1800" w:header="851" w:footer="992" w:gutter="0"/>
          <w:pgNumType w:fmt="decimal"/>
          <w:cols w:space="425" w:num="1"/>
          <w:titlePg/>
          <w:docGrid w:type="lines" w:linePitch="312" w:charSpace="0"/>
        </w:sectPr>
      </w:pPr>
    </w:p>
    <w:tbl>
      <w:tblPr>
        <w:tblStyle w:val="17"/>
        <w:tblW w:w="8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843"/>
        <w:gridCol w:w="490"/>
        <w:gridCol w:w="508"/>
        <w:gridCol w:w="1082"/>
        <w:gridCol w:w="880"/>
        <w:gridCol w:w="731"/>
        <w:gridCol w:w="879"/>
        <w:gridCol w:w="1150"/>
        <w:gridCol w:w="712"/>
        <w:gridCol w:w="1045"/>
      </w:tblGrid>
      <w:tr w14:paraId="1257F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shd w:val="clear" w:color="auto" w:fill="auto"/>
            <w:vAlign w:val="center"/>
          </w:tcPr>
          <w:p w14:paraId="5ABB431C">
            <w:pPr>
              <w:pStyle w:val="2"/>
              <w:rPr>
                <w:rFonts w:hint="default"/>
                <w:lang w:val="en-US" w:eastAsia="zh-CN"/>
              </w:rPr>
            </w:pPr>
          </w:p>
        </w:tc>
        <w:tc>
          <w:tcPr>
            <w:tcW w:w="2080" w:type="dxa"/>
            <w:gridSpan w:val="3"/>
            <w:shd w:val="clear" w:color="auto" w:fill="auto"/>
            <w:vAlign w:val="top"/>
          </w:tcPr>
          <w:p w14:paraId="2B18855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优化人才结构，加强队伍建设。</w:t>
            </w:r>
          </w:p>
        </w:tc>
        <w:tc>
          <w:tcPr>
            <w:tcW w:w="5397" w:type="dxa"/>
            <w:gridSpan w:val="6"/>
            <w:shd w:val="clear" w:color="auto" w:fill="auto"/>
            <w:vAlign w:val="top"/>
          </w:tcPr>
          <w:p w14:paraId="7CBE15C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left"/>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加强干部选拔任用工作，优化和完善人才队伍结构。</w:t>
            </w:r>
          </w:p>
        </w:tc>
      </w:tr>
      <w:tr w14:paraId="543E2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6" w:hRule="atLeast"/>
          <w:jc w:val="center"/>
        </w:trPr>
        <w:tc>
          <w:tcPr>
            <w:tcW w:w="843" w:type="dxa"/>
            <w:vMerge w:val="restart"/>
            <w:shd w:val="clear" w:color="auto" w:fill="auto"/>
            <w:vAlign w:val="center"/>
          </w:tcPr>
          <w:p w14:paraId="6535AEF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年度绩效</w:t>
            </w:r>
          </w:p>
          <w:p w14:paraId="5AD8C78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指标</w:t>
            </w:r>
          </w:p>
        </w:tc>
        <w:tc>
          <w:tcPr>
            <w:tcW w:w="490" w:type="dxa"/>
            <w:shd w:val="clear" w:color="auto" w:fill="auto"/>
            <w:vAlign w:val="center"/>
          </w:tcPr>
          <w:p w14:paraId="799DFD0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一级指标</w:t>
            </w:r>
          </w:p>
        </w:tc>
        <w:tc>
          <w:tcPr>
            <w:tcW w:w="508" w:type="dxa"/>
            <w:shd w:val="clear" w:color="auto" w:fill="auto"/>
            <w:vAlign w:val="center"/>
          </w:tcPr>
          <w:p w14:paraId="5E46271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二级指标</w:t>
            </w:r>
          </w:p>
        </w:tc>
        <w:tc>
          <w:tcPr>
            <w:tcW w:w="1962" w:type="dxa"/>
            <w:gridSpan w:val="2"/>
            <w:shd w:val="clear" w:color="auto" w:fill="auto"/>
            <w:vAlign w:val="center"/>
          </w:tcPr>
          <w:p w14:paraId="466F143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三级指标</w:t>
            </w:r>
          </w:p>
        </w:tc>
        <w:tc>
          <w:tcPr>
            <w:tcW w:w="731" w:type="dxa"/>
            <w:shd w:val="clear" w:color="auto" w:fill="auto"/>
            <w:vAlign w:val="center"/>
          </w:tcPr>
          <w:p w14:paraId="0DDCF19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绩效指标</w:t>
            </w:r>
          </w:p>
          <w:p w14:paraId="3B21D28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性质</w:t>
            </w:r>
          </w:p>
        </w:tc>
        <w:tc>
          <w:tcPr>
            <w:tcW w:w="879" w:type="dxa"/>
            <w:shd w:val="clear" w:color="auto" w:fill="auto"/>
            <w:vAlign w:val="center"/>
          </w:tcPr>
          <w:p w14:paraId="7DAE93B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绩效指标值</w:t>
            </w:r>
          </w:p>
        </w:tc>
        <w:tc>
          <w:tcPr>
            <w:tcW w:w="1150" w:type="dxa"/>
            <w:shd w:val="clear" w:color="auto" w:fill="auto"/>
            <w:vAlign w:val="center"/>
          </w:tcPr>
          <w:p w14:paraId="0319D4C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绩效度量单位</w:t>
            </w:r>
          </w:p>
        </w:tc>
        <w:tc>
          <w:tcPr>
            <w:tcW w:w="712" w:type="dxa"/>
            <w:shd w:val="clear" w:color="auto" w:fill="auto"/>
            <w:vAlign w:val="center"/>
          </w:tcPr>
          <w:p w14:paraId="1852ED6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权重（%）</w:t>
            </w:r>
          </w:p>
        </w:tc>
        <w:tc>
          <w:tcPr>
            <w:tcW w:w="1045" w:type="dxa"/>
            <w:shd w:val="clear" w:color="auto" w:fill="auto"/>
            <w:vAlign w:val="center"/>
          </w:tcPr>
          <w:p w14:paraId="3162725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实际完成</w:t>
            </w:r>
          </w:p>
          <w:p w14:paraId="0C901CA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指标值</w:t>
            </w:r>
          </w:p>
        </w:tc>
      </w:tr>
      <w:tr w14:paraId="69C9A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2CF6C5A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restart"/>
            <w:shd w:val="clear" w:color="auto" w:fill="auto"/>
            <w:vAlign w:val="center"/>
          </w:tcPr>
          <w:p w14:paraId="0068746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产出指标</w:t>
            </w:r>
          </w:p>
        </w:tc>
        <w:tc>
          <w:tcPr>
            <w:tcW w:w="508" w:type="dxa"/>
            <w:vMerge w:val="restart"/>
            <w:shd w:val="clear" w:color="auto" w:fill="auto"/>
            <w:vAlign w:val="center"/>
          </w:tcPr>
          <w:p w14:paraId="7D47D24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数量指标</w:t>
            </w:r>
          </w:p>
        </w:tc>
        <w:tc>
          <w:tcPr>
            <w:tcW w:w="1962" w:type="dxa"/>
            <w:gridSpan w:val="2"/>
            <w:shd w:val="clear" w:color="auto" w:fill="auto"/>
            <w:vAlign w:val="center"/>
          </w:tcPr>
          <w:p w14:paraId="68211E7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景区生态资源保护面积</w:t>
            </w:r>
          </w:p>
        </w:tc>
        <w:tc>
          <w:tcPr>
            <w:tcW w:w="731" w:type="dxa"/>
            <w:shd w:val="clear" w:color="auto" w:fill="auto"/>
            <w:vAlign w:val="center"/>
          </w:tcPr>
          <w:p w14:paraId="4377281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1E22E49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632</w:t>
            </w:r>
          </w:p>
        </w:tc>
        <w:tc>
          <w:tcPr>
            <w:tcW w:w="1150" w:type="dxa"/>
            <w:shd w:val="clear" w:color="auto" w:fill="auto"/>
            <w:vAlign w:val="center"/>
          </w:tcPr>
          <w:p w14:paraId="456A712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万平方公里</w:t>
            </w:r>
          </w:p>
        </w:tc>
        <w:tc>
          <w:tcPr>
            <w:tcW w:w="712" w:type="dxa"/>
            <w:shd w:val="clear" w:color="auto" w:fill="auto"/>
            <w:vAlign w:val="center"/>
          </w:tcPr>
          <w:p w14:paraId="3A65348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4</w:t>
            </w:r>
          </w:p>
        </w:tc>
        <w:tc>
          <w:tcPr>
            <w:tcW w:w="1045" w:type="dxa"/>
            <w:shd w:val="clear" w:color="auto" w:fill="auto"/>
            <w:vAlign w:val="center"/>
          </w:tcPr>
          <w:p w14:paraId="3F313AD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632平方公里</w:t>
            </w:r>
          </w:p>
        </w:tc>
      </w:tr>
      <w:tr w14:paraId="092E8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30E021B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7315FF6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4DBCFE4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0023372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景区业务免票人次占总接待人次的比率</w:t>
            </w:r>
          </w:p>
        </w:tc>
        <w:tc>
          <w:tcPr>
            <w:tcW w:w="731" w:type="dxa"/>
            <w:shd w:val="clear" w:color="auto" w:fill="auto"/>
            <w:vAlign w:val="center"/>
          </w:tcPr>
          <w:p w14:paraId="0BD3CB5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61269D7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0.5</w:t>
            </w:r>
          </w:p>
        </w:tc>
        <w:tc>
          <w:tcPr>
            <w:tcW w:w="1150" w:type="dxa"/>
            <w:shd w:val="clear" w:color="auto" w:fill="auto"/>
            <w:vAlign w:val="center"/>
          </w:tcPr>
          <w:p w14:paraId="03E86D2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712" w:type="dxa"/>
            <w:shd w:val="clear" w:color="auto" w:fill="auto"/>
            <w:vAlign w:val="center"/>
          </w:tcPr>
          <w:p w14:paraId="1F81B6A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3F2B594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0.49%</w:t>
            </w:r>
          </w:p>
        </w:tc>
      </w:tr>
      <w:tr w14:paraId="1D5B7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7081D99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1495F76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5537DD3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7DDA0CC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景区游客接待量</w:t>
            </w:r>
          </w:p>
        </w:tc>
        <w:tc>
          <w:tcPr>
            <w:tcW w:w="731" w:type="dxa"/>
            <w:shd w:val="clear" w:color="auto" w:fill="auto"/>
            <w:vAlign w:val="center"/>
          </w:tcPr>
          <w:p w14:paraId="7685D84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55A4730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15</w:t>
            </w:r>
          </w:p>
        </w:tc>
        <w:tc>
          <w:tcPr>
            <w:tcW w:w="1150" w:type="dxa"/>
            <w:shd w:val="clear" w:color="auto" w:fill="auto"/>
            <w:vAlign w:val="center"/>
          </w:tcPr>
          <w:p w14:paraId="3FA64FD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万人次</w:t>
            </w:r>
          </w:p>
        </w:tc>
        <w:tc>
          <w:tcPr>
            <w:tcW w:w="712" w:type="dxa"/>
            <w:shd w:val="clear" w:color="auto" w:fill="auto"/>
            <w:vAlign w:val="center"/>
          </w:tcPr>
          <w:p w14:paraId="7779221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4</w:t>
            </w:r>
          </w:p>
        </w:tc>
        <w:tc>
          <w:tcPr>
            <w:tcW w:w="1045" w:type="dxa"/>
            <w:shd w:val="clear" w:color="auto" w:fill="auto"/>
            <w:vAlign w:val="center"/>
          </w:tcPr>
          <w:p w14:paraId="5BC5C94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25.67万人次</w:t>
            </w:r>
          </w:p>
        </w:tc>
      </w:tr>
      <w:tr w14:paraId="3E5F6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57F8D45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4EA8B25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1049886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3F534C3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开展森林病虫害监测工作次数</w:t>
            </w:r>
          </w:p>
        </w:tc>
        <w:tc>
          <w:tcPr>
            <w:tcW w:w="731" w:type="dxa"/>
            <w:shd w:val="clear" w:color="auto" w:fill="auto"/>
            <w:vAlign w:val="center"/>
          </w:tcPr>
          <w:p w14:paraId="12883AE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4A88C48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5</w:t>
            </w:r>
          </w:p>
        </w:tc>
        <w:tc>
          <w:tcPr>
            <w:tcW w:w="1150" w:type="dxa"/>
            <w:shd w:val="clear" w:color="auto" w:fill="auto"/>
            <w:vAlign w:val="center"/>
          </w:tcPr>
          <w:p w14:paraId="156796E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次</w:t>
            </w:r>
          </w:p>
        </w:tc>
        <w:tc>
          <w:tcPr>
            <w:tcW w:w="712" w:type="dxa"/>
            <w:shd w:val="clear" w:color="auto" w:fill="auto"/>
            <w:vAlign w:val="center"/>
          </w:tcPr>
          <w:p w14:paraId="1743E58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14E7065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6次</w:t>
            </w:r>
          </w:p>
        </w:tc>
      </w:tr>
      <w:tr w14:paraId="76582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123F43F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2F415ED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75EE9C7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6C3E3A5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开展森林草原防灭火宣传次数</w:t>
            </w:r>
          </w:p>
        </w:tc>
        <w:tc>
          <w:tcPr>
            <w:tcW w:w="731" w:type="dxa"/>
            <w:shd w:val="clear" w:color="auto" w:fill="auto"/>
            <w:vAlign w:val="center"/>
          </w:tcPr>
          <w:p w14:paraId="11B013A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1BE07DC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20</w:t>
            </w:r>
          </w:p>
        </w:tc>
        <w:tc>
          <w:tcPr>
            <w:tcW w:w="1150" w:type="dxa"/>
            <w:shd w:val="clear" w:color="auto" w:fill="auto"/>
            <w:vAlign w:val="center"/>
          </w:tcPr>
          <w:p w14:paraId="78D8126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次</w:t>
            </w:r>
          </w:p>
        </w:tc>
        <w:tc>
          <w:tcPr>
            <w:tcW w:w="712" w:type="dxa"/>
            <w:shd w:val="clear" w:color="auto" w:fill="auto"/>
            <w:vAlign w:val="center"/>
          </w:tcPr>
          <w:p w14:paraId="0A7212F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3B8011E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34次</w:t>
            </w:r>
          </w:p>
        </w:tc>
      </w:tr>
      <w:tr w14:paraId="4062A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241B06E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6B16313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3BF0994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4DC13B7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开展宣传报道推广次数</w:t>
            </w:r>
          </w:p>
        </w:tc>
        <w:tc>
          <w:tcPr>
            <w:tcW w:w="731" w:type="dxa"/>
            <w:shd w:val="clear" w:color="auto" w:fill="auto"/>
            <w:vAlign w:val="center"/>
          </w:tcPr>
          <w:p w14:paraId="64C9CBE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69D9C60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200</w:t>
            </w:r>
          </w:p>
        </w:tc>
        <w:tc>
          <w:tcPr>
            <w:tcW w:w="1150" w:type="dxa"/>
            <w:shd w:val="clear" w:color="auto" w:fill="auto"/>
            <w:vAlign w:val="center"/>
          </w:tcPr>
          <w:p w14:paraId="18A6CE2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次/年</w:t>
            </w:r>
          </w:p>
        </w:tc>
        <w:tc>
          <w:tcPr>
            <w:tcW w:w="712" w:type="dxa"/>
            <w:shd w:val="clear" w:color="auto" w:fill="auto"/>
            <w:vAlign w:val="center"/>
          </w:tcPr>
          <w:p w14:paraId="035D4DB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4</w:t>
            </w:r>
          </w:p>
        </w:tc>
        <w:tc>
          <w:tcPr>
            <w:tcW w:w="1045" w:type="dxa"/>
            <w:shd w:val="clear" w:color="auto" w:fill="auto"/>
            <w:vAlign w:val="center"/>
          </w:tcPr>
          <w:p w14:paraId="22BE48C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2000</w:t>
            </w:r>
            <w:r>
              <w:rPr>
                <w:rFonts w:hint="eastAsia" w:ascii="仿宋_GB2312" w:hAnsi="仿宋_GB2312" w:cs="仿宋_GB2312"/>
                <w:i w:val="0"/>
                <w:color w:val="auto"/>
                <w:kern w:val="0"/>
                <w:sz w:val="21"/>
                <w:szCs w:val="21"/>
                <w:lang w:val="en-US" w:eastAsia="zh-CN" w:bidi="ar"/>
              </w:rPr>
              <w:t>次</w:t>
            </w:r>
          </w:p>
        </w:tc>
      </w:tr>
      <w:tr w14:paraId="7C3FF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33FD945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1A5E306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0BE3288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72576DC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开展主题营销宣传活动次数</w:t>
            </w:r>
          </w:p>
        </w:tc>
        <w:tc>
          <w:tcPr>
            <w:tcW w:w="731" w:type="dxa"/>
            <w:shd w:val="clear" w:color="auto" w:fill="auto"/>
            <w:vAlign w:val="center"/>
          </w:tcPr>
          <w:p w14:paraId="07BC676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1A7C521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150" w:type="dxa"/>
            <w:shd w:val="clear" w:color="auto" w:fill="auto"/>
            <w:vAlign w:val="center"/>
          </w:tcPr>
          <w:p w14:paraId="1AF9798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次/年</w:t>
            </w:r>
          </w:p>
        </w:tc>
        <w:tc>
          <w:tcPr>
            <w:tcW w:w="712" w:type="dxa"/>
            <w:shd w:val="clear" w:color="auto" w:fill="auto"/>
            <w:vAlign w:val="center"/>
          </w:tcPr>
          <w:p w14:paraId="674E3EE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4</w:t>
            </w:r>
          </w:p>
        </w:tc>
        <w:tc>
          <w:tcPr>
            <w:tcW w:w="1045" w:type="dxa"/>
            <w:shd w:val="clear" w:color="auto" w:fill="auto"/>
            <w:vAlign w:val="center"/>
          </w:tcPr>
          <w:p w14:paraId="60C5AB1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19</w:t>
            </w:r>
            <w:r>
              <w:rPr>
                <w:rFonts w:hint="eastAsia" w:ascii="仿宋_GB2312" w:hAnsi="仿宋_GB2312" w:cs="仿宋_GB2312"/>
                <w:i w:val="0"/>
                <w:color w:val="auto"/>
                <w:kern w:val="0"/>
                <w:sz w:val="21"/>
                <w:szCs w:val="21"/>
                <w:lang w:val="en-US" w:eastAsia="zh-CN" w:bidi="ar"/>
              </w:rPr>
              <w:t>次</w:t>
            </w:r>
          </w:p>
        </w:tc>
      </w:tr>
      <w:tr w14:paraId="5DC18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5E91CCC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29D6D72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342272F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0EE5A2A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扩大冰川保护实验面积</w:t>
            </w:r>
          </w:p>
        </w:tc>
        <w:tc>
          <w:tcPr>
            <w:tcW w:w="731" w:type="dxa"/>
            <w:shd w:val="clear" w:color="auto" w:fill="auto"/>
            <w:vAlign w:val="center"/>
          </w:tcPr>
          <w:p w14:paraId="66AAA76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45E1B21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500</w:t>
            </w:r>
          </w:p>
        </w:tc>
        <w:tc>
          <w:tcPr>
            <w:tcW w:w="1150" w:type="dxa"/>
            <w:shd w:val="clear" w:color="auto" w:fill="auto"/>
            <w:vAlign w:val="center"/>
          </w:tcPr>
          <w:p w14:paraId="27DF8C5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平方米</w:t>
            </w:r>
          </w:p>
        </w:tc>
        <w:tc>
          <w:tcPr>
            <w:tcW w:w="712" w:type="dxa"/>
            <w:shd w:val="clear" w:color="auto" w:fill="auto"/>
            <w:vAlign w:val="center"/>
          </w:tcPr>
          <w:p w14:paraId="7AD6873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75361E2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800平方米</w:t>
            </w:r>
          </w:p>
        </w:tc>
      </w:tr>
      <w:tr w14:paraId="07719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6A124C5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42912BA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2E7082D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3824A23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试育种高山植物数量</w:t>
            </w:r>
          </w:p>
        </w:tc>
        <w:tc>
          <w:tcPr>
            <w:tcW w:w="731" w:type="dxa"/>
            <w:shd w:val="clear" w:color="auto" w:fill="auto"/>
            <w:vAlign w:val="center"/>
          </w:tcPr>
          <w:p w14:paraId="32B7244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5329E71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1000</w:t>
            </w:r>
          </w:p>
        </w:tc>
        <w:tc>
          <w:tcPr>
            <w:tcW w:w="1150" w:type="dxa"/>
            <w:shd w:val="clear" w:color="auto" w:fill="auto"/>
            <w:vAlign w:val="center"/>
          </w:tcPr>
          <w:p w14:paraId="65B8296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株</w:t>
            </w:r>
          </w:p>
        </w:tc>
        <w:tc>
          <w:tcPr>
            <w:tcW w:w="712" w:type="dxa"/>
            <w:shd w:val="clear" w:color="auto" w:fill="auto"/>
            <w:vAlign w:val="center"/>
          </w:tcPr>
          <w:p w14:paraId="37DF403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13AA682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3000</w:t>
            </w:r>
            <w:r>
              <w:rPr>
                <w:rFonts w:hint="eastAsia" w:ascii="仿宋_GB2312" w:hAnsi="仿宋_GB2312" w:cs="仿宋_GB2312"/>
                <w:i w:val="0"/>
                <w:color w:val="auto"/>
                <w:kern w:val="0"/>
                <w:sz w:val="21"/>
                <w:szCs w:val="21"/>
                <w:lang w:val="en-US" w:eastAsia="zh-CN" w:bidi="ar"/>
              </w:rPr>
              <w:t>株</w:t>
            </w:r>
          </w:p>
        </w:tc>
      </w:tr>
      <w:tr w14:paraId="10072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56E67D1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1CC9FE2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restart"/>
            <w:shd w:val="clear" w:color="auto" w:fill="auto"/>
            <w:vAlign w:val="center"/>
          </w:tcPr>
          <w:p w14:paraId="6DED3EE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质量指标</w:t>
            </w:r>
          </w:p>
        </w:tc>
        <w:tc>
          <w:tcPr>
            <w:tcW w:w="1962" w:type="dxa"/>
            <w:gridSpan w:val="2"/>
            <w:shd w:val="clear" w:color="auto" w:fill="auto"/>
            <w:vAlign w:val="center"/>
          </w:tcPr>
          <w:p w14:paraId="715C18C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安全生产责任事故数</w:t>
            </w:r>
          </w:p>
        </w:tc>
        <w:tc>
          <w:tcPr>
            <w:tcW w:w="731" w:type="dxa"/>
            <w:shd w:val="clear" w:color="auto" w:fill="auto"/>
            <w:vAlign w:val="center"/>
          </w:tcPr>
          <w:p w14:paraId="2C5CC75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5B4EEEE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w:t>
            </w:r>
          </w:p>
        </w:tc>
        <w:tc>
          <w:tcPr>
            <w:tcW w:w="1150" w:type="dxa"/>
            <w:shd w:val="clear" w:color="auto" w:fill="auto"/>
            <w:vAlign w:val="center"/>
          </w:tcPr>
          <w:p w14:paraId="0DEE21D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次/年</w:t>
            </w:r>
          </w:p>
        </w:tc>
        <w:tc>
          <w:tcPr>
            <w:tcW w:w="712" w:type="dxa"/>
            <w:shd w:val="clear" w:color="auto" w:fill="auto"/>
            <w:vAlign w:val="center"/>
          </w:tcPr>
          <w:p w14:paraId="300BC03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070EC3B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w:t>
            </w:r>
            <w:r>
              <w:rPr>
                <w:rFonts w:hint="eastAsia" w:ascii="仿宋_GB2312" w:hAnsi="仿宋_GB2312" w:cs="仿宋_GB2312"/>
                <w:i w:val="0"/>
                <w:color w:val="auto"/>
                <w:kern w:val="0"/>
                <w:sz w:val="21"/>
                <w:szCs w:val="21"/>
                <w:lang w:val="en-US" w:eastAsia="zh-CN" w:bidi="ar"/>
              </w:rPr>
              <w:t>次</w:t>
            </w:r>
          </w:p>
        </w:tc>
      </w:tr>
      <w:tr w14:paraId="268FC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61353F0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6C8C5D4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6FD04ED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7C93708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景区空气质量数据采集科学有效</w:t>
            </w:r>
          </w:p>
        </w:tc>
        <w:tc>
          <w:tcPr>
            <w:tcW w:w="731" w:type="dxa"/>
            <w:shd w:val="clear" w:color="auto" w:fill="auto"/>
            <w:vAlign w:val="center"/>
          </w:tcPr>
          <w:p w14:paraId="7E5D7F0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定性</w:t>
            </w:r>
          </w:p>
        </w:tc>
        <w:tc>
          <w:tcPr>
            <w:tcW w:w="879" w:type="dxa"/>
            <w:shd w:val="clear" w:color="auto" w:fill="auto"/>
            <w:vAlign w:val="center"/>
          </w:tcPr>
          <w:p w14:paraId="61E3C18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优良中低差</w:t>
            </w:r>
          </w:p>
        </w:tc>
        <w:tc>
          <w:tcPr>
            <w:tcW w:w="1150" w:type="dxa"/>
            <w:shd w:val="clear" w:color="auto" w:fill="auto"/>
            <w:vAlign w:val="center"/>
          </w:tcPr>
          <w:p w14:paraId="5D691C9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712" w:type="dxa"/>
            <w:shd w:val="clear" w:color="auto" w:fill="auto"/>
            <w:vAlign w:val="center"/>
          </w:tcPr>
          <w:p w14:paraId="383426C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57C974A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w:t>
            </w:r>
          </w:p>
        </w:tc>
      </w:tr>
      <w:tr w14:paraId="4B06F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35D3AF6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75495E2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restart"/>
            <w:shd w:val="clear" w:color="auto" w:fill="auto"/>
            <w:vAlign w:val="center"/>
          </w:tcPr>
          <w:p w14:paraId="4A21321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时效指标</w:t>
            </w:r>
          </w:p>
        </w:tc>
        <w:tc>
          <w:tcPr>
            <w:tcW w:w="1962" w:type="dxa"/>
            <w:gridSpan w:val="2"/>
            <w:shd w:val="clear" w:color="auto" w:fill="auto"/>
            <w:vAlign w:val="center"/>
          </w:tcPr>
          <w:p w14:paraId="6E8D5A8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景区气象预报发布及时性</w:t>
            </w:r>
          </w:p>
        </w:tc>
        <w:tc>
          <w:tcPr>
            <w:tcW w:w="731" w:type="dxa"/>
            <w:shd w:val="clear" w:color="auto" w:fill="auto"/>
            <w:vAlign w:val="center"/>
          </w:tcPr>
          <w:p w14:paraId="585F3EC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5B493F9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w:t>
            </w:r>
          </w:p>
        </w:tc>
        <w:tc>
          <w:tcPr>
            <w:tcW w:w="1150" w:type="dxa"/>
            <w:shd w:val="clear" w:color="auto" w:fill="auto"/>
            <w:vAlign w:val="center"/>
          </w:tcPr>
          <w:p w14:paraId="2CA4066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天</w:t>
            </w:r>
          </w:p>
        </w:tc>
        <w:tc>
          <w:tcPr>
            <w:tcW w:w="712" w:type="dxa"/>
            <w:shd w:val="clear" w:color="auto" w:fill="auto"/>
            <w:vAlign w:val="center"/>
          </w:tcPr>
          <w:p w14:paraId="1B68532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38C585C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w:t>
            </w:r>
            <w:r>
              <w:rPr>
                <w:rFonts w:hint="eastAsia" w:ascii="仿宋_GB2312" w:hAnsi="仿宋_GB2312" w:cs="仿宋_GB2312"/>
                <w:i w:val="0"/>
                <w:color w:val="auto"/>
                <w:kern w:val="0"/>
                <w:sz w:val="21"/>
                <w:szCs w:val="21"/>
                <w:lang w:val="en-US" w:eastAsia="zh-CN" w:bidi="ar"/>
              </w:rPr>
              <w:t>天</w:t>
            </w:r>
          </w:p>
        </w:tc>
      </w:tr>
      <w:tr w14:paraId="0B82A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654C32A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3684A31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07AFFEC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0A066AF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景区设施设备维修及时性</w:t>
            </w:r>
          </w:p>
        </w:tc>
        <w:tc>
          <w:tcPr>
            <w:tcW w:w="731" w:type="dxa"/>
            <w:shd w:val="clear" w:color="auto" w:fill="auto"/>
            <w:vAlign w:val="center"/>
          </w:tcPr>
          <w:p w14:paraId="446EFF6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704BD81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5</w:t>
            </w:r>
          </w:p>
        </w:tc>
        <w:tc>
          <w:tcPr>
            <w:tcW w:w="1150" w:type="dxa"/>
            <w:shd w:val="clear" w:color="auto" w:fill="auto"/>
            <w:vAlign w:val="center"/>
          </w:tcPr>
          <w:p w14:paraId="59CFE44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天</w:t>
            </w:r>
          </w:p>
        </w:tc>
        <w:tc>
          <w:tcPr>
            <w:tcW w:w="712" w:type="dxa"/>
            <w:shd w:val="clear" w:color="auto" w:fill="auto"/>
            <w:vAlign w:val="center"/>
          </w:tcPr>
          <w:p w14:paraId="573FCD4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0C46642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r>
              <w:rPr>
                <w:rFonts w:hint="eastAsia" w:ascii="仿宋_GB2312" w:hAnsi="仿宋_GB2312" w:cs="仿宋_GB2312"/>
                <w:i w:val="0"/>
                <w:color w:val="auto"/>
                <w:kern w:val="0"/>
                <w:sz w:val="21"/>
                <w:szCs w:val="21"/>
                <w:lang w:val="en-US" w:eastAsia="zh-CN" w:bidi="ar"/>
              </w:rPr>
              <w:t>天</w:t>
            </w:r>
          </w:p>
        </w:tc>
      </w:tr>
      <w:tr w14:paraId="334E1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0B4DC38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6DE5CBF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6AFA091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3DF4A43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信访、投诉受理及时性</w:t>
            </w:r>
          </w:p>
        </w:tc>
        <w:tc>
          <w:tcPr>
            <w:tcW w:w="731" w:type="dxa"/>
            <w:shd w:val="clear" w:color="auto" w:fill="auto"/>
            <w:vAlign w:val="center"/>
          </w:tcPr>
          <w:p w14:paraId="706CF7F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24D21C2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5</w:t>
            </w:r>
          </w:p>
        </w:tc>
        <w:tc>
          <w:tcPr>
            <w:tcW w:w="1150" w:type="dxa"/>
            <w:shd w:val="clear" w:color="auto" w:fill="auto"/>
            <w:vAlign w:val="center"/>
          </w:tcPr>
          <w:p w14:paraId="1350DF2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天</w:t>
            </w:r>
          </w:p>
        </w:tc>
        <w:tc>
          <w:tcPr>
            <w:tcW w:w="712" w:type="dxa"/>
            <w:shd w:val="clear" w:color="auto" w:fill="auto"/>
            <w:vAlign w:val="center"/>
          </w:tcPr>
          <w:p w14:paraId="05ECEC2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0E778D7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w:t>
            </w:r>
            <w:r>
              <w:rPr>
                <w:rFonts w:hint="eastAsia" w:ascii="仿宋_GB2312" w:hAnsi="仿宋_GB2312" w:cs="仿宋_GB2312"/>
                <w:i w:val="0"/>
                <w:color w:val="auto"/>
                <w:kern w:val="0"/>
                <w:sz w:val="21"/>
                <w:szCs w:val="21"/>
                <w:lang w:val="en-US" w:eastAsia="zh-CN" w:bidi="ar"/>
              </w:rPr>
              <w:t>天</w:t>
            </w:r>
          </w:p>
        </w:tc>
      </w:tr>
      <w:tr w14:paraId="75F43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6" w:hRule="atLeast"/>
          <w:jc w:val="center"/>
        </w:trPr>
        <w:tc>
          <w:tcPr>
            <w:tcW w:w="843" w:type="dxa"/>
            <w:vMerge w:val="continue"/>
            <w:shd w:val="clear" w:color="auto" w:fill="auto"/>
            <w:vAlign w:val="center"/>
          </w:tcPr>
          <w:p w14:paraId="462A2C3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restart"/>
            <w:shd w:val="clear" w:color="auto" w:fill="auto"/>
            <w:vAlign w:val="center"/>
          </w:tcPr>
          <w:p w14:paraId="68742EA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效益指标</w:t>
            </w:r>
          </w:p>
        </w:tc>
        <w:tc>
          <w:tcPr>
            <w:tcW w:w="508" w:type="dxa"/>
            <w:shd w:val="clear" w:color="auto" w:fill="auto"/>
            <w:vAlign w:val="center"/>
          </w:tcPr>
          <w:p w14:paraId="6D9AE34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cs="仿宋_GB2312"/>
                <w:i w:val="0"/>
                <w:color w:val="auto"/>
                <w:kern w:val="0"/>
                <w:sz w:val="21"/>
                <w:szCs w:val="21"/>
                <w:lang w:val="en-US" w:eastAsia="zh-CN" w:bidi="ar"/>
              </w:rPr>
              <w:t>经济</w:t>
            </w:r>
            <w:r>
              <w:rPr>
                <w:rFonts w:hint="eastAsia" w:ascii="仿宋_GB2312" w:hAnsi="仿宋_GB2312" w:eastAsia="仿宋_GB2312" w:cs="仿宋_GB2312"/>
                <w:i w:val="0"/>
                <w:color w:val="auto"/>
                <w:kern w:val="0"/>
                <w:sz w:val="21"/>
                <w:szCs w:val="21"/>
                <w:lang w:val="en-US" w:eastAsia="zh-CN" w:bidi="ar"/>
              </w:rPr>
              <w:t>效益</w:t>
            </w:r>
          </w:p>
          <w:p w14:paraId="14F6214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指标</w:t>
            </w:r>
          </w:p>
        </w:tc>
        <w:tc>
          <w:tcPr>
            <w:tcW w:w="1962" w:type="dxa"/>
            <w:gridSpan w:val="2"/>
            <w:shd w:val="clear" w:color="auto" w:fill="auto"/>
            <w:vAlign w:val="center"/>
          </w:tcPr>
          <w:p w14:paraId="68D6C62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提高景区旅游接待收入</w:t>
            </w:r>
          </w:p>
        </w:tc>
        <w:tc>
          <w:tcPr>
            <w:tcW w:w="731" w:type="dxa"/>
            <w:shd w:val="clear" w:color="auto" w:fill="auto"/>
            <w:vAlign w:val="center"/>
          </w:tcPr>
          <w:p w14:paraId="23770DB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6B2A094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1000</w:t>
            </w:r>
          </w:p>
        </w:tc>
        <w:tc>
          <w:tcPr>
            <w:tcW w:w="1150" w:type="dxa"/>
            <w:shd w:val="clear" w:color="auto" w:fill="auto"/>
            <w:vAlign w:val="center"/>
          </w:tcPr>
          <w:p w14:paraId="5E89DBD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万元</w:t>
            </w:r>
          </w:p>
        </w:tc>
        <w:tc>
          <w:tcPr>
            <w:tcW w:w="712" w:type="dxa"/>
            <w:shd w:val="clear" w:color="auto" w:fill="auto"/>
            <w:vAlign w:val="center"/>
          </w:tcPr>
          <w:p w14:paraId="454A4CD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2409F72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1263.28</w:t>
            </w:r>
          </w:p>
        </w:tc>
      </w:tr>
      <w:tr w14:paraId="74D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6" w:hRule="atLeast"/>
          <w:jc w:val="center"/>
        </w:trPr>
        <w:tc>
          <w:tcPr>
            <w:tcW w:w="843" w:type="dxa"/>
            <w:vMerge w:val="continue"/>
            <w:shd w:val="clear" w:color="auto" w:fill="auto"/>
            <w:vAlign w:val="center"/>
          </w:tcPr>
          <w:p w14:paraId="708A195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5928FE9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restart"/>
            <w:shd w:val="clear" w:color="auto" w:fill="auto"/>
            <w:vAlign w:val="center"/>
          </w:tcPr>
          <w:p w14:paraId="55A2DCB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cs="仿宋_GB2312"/>
                <w:i w:val="0"/>
                <w:color w:val="auto"/>
                <w:kern w:val="0"/>
                <w:sz w:val="21"/>
                <w:szCs w:val="21"/>
                <w:lang w:val="en-US" w:eastAsia="zh-CN" w:bidi="ar"/>
              </w:rPr>
              <w:t>社会效益指标</w:t>
            </w:r>
          </w:p>
        </w:tc>
        <w:tc>
          <w:tcPr>
            <w:tcW w:w="1962" w:type="dxa"/>
            <w:gridSpan w:val="2"/>
            <w:shd w:val="clear" w:color="auto" w:fill="auto"/>
            <w:vAlign w:val="center"/>
          </w:tcPr>
          <w:p w14:paraId="6E639A2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良好的景区环境卫生保障对游客游览体验的改善程度</w:t>
            </w:r>
          </w:p>
        </w:tc>
        <w:tc>
          <w:tcPr>
            <w:tcW w:w="731" w:type="dxa"/>
            <w:shd w:val="clear" w:color="auto" w:fill="auto"/>
            <w:vAlign w:val="center"/>
          </w:tcPr>
          <w:p w14:paraId="302307E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定性</w:t>
            </w:r>
          </w:p>
        </w:tc>
        <w:tc>
          <w:tcPr>
            <w:tcW w:w="879" w:type="dxa"/>
            <w:shd w:val="clear" w:color="auto" w:fill="auto"/>
            <w:vAlign w:val="center"/>
          </w:tcPr>
          <w:p w14:paraId="50814B6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优良中低差</w:t>
            </w:r>
          </w:p>
        </w:tc>
        <w:tc>
          <w:tcPr>
            <w:tcW w:w="1150" w:type="dxa"/>
            <w:shd w:val="clear" w:color="auto" w:fill="auto"/>
            <w:vAlign w:val="center"/>
          </w:tcPr>
          <w:p w14:paraId="542C7AB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712" w:type="dxa"/>
            <w:shd w:val="clear" w:color="auto" w:fill="auto"/>
            <w:vAlign w:val="center"/>
          </w:tcPr>
          <w:p w14:paraId="1326BD0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5D976BE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w:t>
            </w:r>
          </w:p>
        </w:tc>
      </w:tr>
      <w:tr w14:paraId="33011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3730349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4CB5061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778C3E6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60FE65D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旅游市场综合治理改善程度</w:t>
            </w:r>
          </w:p>
        </w:tc>
        <w:tc>
          <w:tcPr>
            <w:tcW w:w="731" w:type="dxa"/>
            <w:shd w:val="clear" w:color="auto" w:fill="auto"/>
            <w:vAlign w:val="center"/>
          </w:tcPr>
          <w:p w14:paraId="2F81C41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定性</w:t>
            </w:r>
          </w:p>
        </w:tc>
        <w:tc>
          <w:tcPr>
            <w:tcW w:w="879" w:type="dxa"/>
            <w:shd w:val="clear" w:color="auto" w:fill="auto"/>
            <w:vAlign w:val="center"/>
          </w:tcPr>
          <w:p w14:paraId="7DDE115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优良中低差</w:t>
            </w:r>
          </w:p>
        </w:tc>
        <w:tc>
          <w:tcPr>
            <w:tcW w:w="1150" w:type="dxa"/>
            <w:shd w:val="clear" w:color="auto" w:fill="auto"/>
            <w:vAlign w:val="center"/>
          </w:tcPr>
          <w:p w14:paraId="1A75044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712" w:type="dxa"/>
            <w:shd w:val="clear" w:color="auto" w:fill="auto"/>
            <w:vAlign w:val="center"/>
          </w:tcPr>
          <w:p w14:paraId="0A4802F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412C5DA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w:t>
            </w:r>
          </w:p>
        </w:tc>
      </w:tr>
      <w:tr w14:paraId="2EF0D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3A5DC94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0CFD10E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14D579B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2C50DFB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完善队伍结构，提升服务工作水平</w:t>
            </w:r>
          </w:p>
        </w:tc>
        <w:tc>
          <w:tcPr>
            <w:tcW w:w="731" w:type="dxa"/>
            <w:shd w:val="clear" w:color="auto" w:fill="auto"/>
            <w:vAlign w:val="center"/>
          </w:tcPr>
          <w:p w14:paraId="3D47546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定性</w:t>
            </w:r>
          </w:p>
        </w:tc>
        <w:tc>
          <w:tcPr>
            <w:tcW w:w="879" w:type="dxa"/>
            <w:shd w:val="clear" w:color="auto" w:fill="auto"/>
            <w:vAlign w:val="center"/>
          </w:tcPr>
          <w:p w14:paraId="31E4641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优良中低差</w:t>
            </w:r>
          </w:p>
        </w:tc>
        <w:tc>
          <w:tcPr>
            <w:tcW w:w="1150" w:type="dxa"/>
            <w:shd w:val="clear" w:color="auto" w:fill="auto"/>
            <w:vAlign w:val="center"/>
          </w:tcPr>
          <w:p w14:paraId="4EF7921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712" w:type="dxa"/>
            <w:shd w:val="clear" w:color="auto" w:fill="auto"/>
            <w:vAlign w:val="center"/>
          </w:tcPr>
          <w:p w14:paraId="5DF6165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73A3486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w:t>
            </w:r>
          </w:p>
        </w:tc>
      </w:tr>
      <w:tr w14:paraId="599B1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6" w:hRule="atLeast"/>
          <w:jc w:val="center"/>
        </w:trPr>
        <w:tc>
          <w:tcPr>
            <w:tcW w:w="843" w:type="dxa"/>
            <w:vMerge w:val="continue"/>
            <w:shd w:val="clear" w:color="auto" w:fill="auto"/>
            <w:vAlign w:val="center"/>
          </w:tcPr>
          <w:p w14:paraId="1659883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54BEB03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restart"/>
            <w:shd w:val="clear" w:color="auto" w:fill="auto"/>
            <w:vAlign w:val="center"/>
          </w:tcPr>
          <w:p w14:paraId="5D82B65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cs="仿宋_GB2312"/>
                <w:i w:val="0"/>
                <w:color w:val="auto"/>
                <w:kern w:val="0"/>
                <w:sz w:val="21"/>
                <w:szCs w:val="21"/>
                <w:lang w:val="en-US" w:eastAsia="zh-CN" w:bidi="ar"/>
              </w:rPr>
              <w:t>生态效益指标</w:t>
            </w:r>
          </w:p>
        </w:tc>
        <w:tc>
          <w:tcPr>
            <w:tcW w:w="1962" w:type="dxa"/>
            <w:gridSpan w:val="2"/>
            <w:shd w:val="clear" w:color="auto" w:fill="auto"/>
            <w:vAlign w:val="center"/>
          </w:tcPr>
          <w:p w14:paraId="4297B3A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科普宣传教育对游客重视生态环境保护的改善程度</w:t>
            </w:r>
          </w:p>
        </w:tc>
        <w:tc>
          <w:tcPr>
            <w:tcW w:w="731" w:type="dxa"/>
            <w:shd w:val="clear" w:color="auto" w:fill="auto"/>
            <w:vAlign w:val="center"/>
          </w:tcPr>
          <w:p w14:paraId="46816BD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定性</w:t>
            </w:r>
          </w:p>
        </w:tc>
        <w:tc>
          <w:tcPr>
            <w:tcW w:w="879" w:type="dxa"/>
            <w:shd w:val="clear" w:color="auto" w:fill="auto"/>
            <w:vAlign w:val="center"/>
          </w:tcPr>
          <w:p w14:paraId="245C001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优良中低差</w:t>
            </w:r>
          </w:p>
        </w:tc>
        <w:tc>
          <w:tcPr>
            <w:tcW w:w="1150" w:type="dxa"/>
            <w:shd w:val="clear" w:color="auto" w:fill="auto"/>
            <w:vAlign w:val="center"/>
          </w:tcPr>
          <w:p w14:paraId="4A810A3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712" w:type="dxa"/>
            <w:shd w:val="clear" w:color="auto" w:fill="auto"/>
            <w:vAlign w:val="center"/>
          </w:tcPr>
          <w:p w14:paraId="47F1D2F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10</w:t>
            </w:r>
          </w:p>
        </w:tc>
        <w:tc>
          <w:tcPr>
            <w:tcW w:w="1045" w:type="dxa"/>
            <w:shd w:val="clear" w:color="auto" w:fill="auto"/>
            <w:vAlign w:val="center"/>
          </w:tcPr>
          <w:p w14:paraId="3C15226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w:t>
            </w:r>
          </w:p>
        </w:tc>
      </w:tr>
      <w:tr w14:paraId="3556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46A1CA3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0167C82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364091A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29A51B82">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景区内发生</w:t>
            </w:r>
            <w:r>
              <w:rPr>
                <w:rFonts w:hint="eastAsia" w:ascii="仿宋_GB2312" w:hAnsi="仿宋_GB2312" w:cs="仿宋_GB2312"/>
                <w:i w:val="0"/>
                <w:color w:val="auto"/>
                <w:kern w:val="0"/>
                <w:sz w:val="21"/>
                <w:szCs w:val="21"/>
                <w:lang w:val="en-US" w:eastAsia="zh-CN" w:bidi="ar"/>
              </w:rPr>
              <w:t>重特大</w:t>
            </w:r>
            <w:r>
              <w:rPr>
                <w:rFonts w:hint="eastAsia" w:ascii="仿宋_GB2312" w:hAnsi="仿宋_GB2312" w:eastAsia="仿宋_GB2312" w:cs="仿宋_GB2312"/>
                <w:i w:val="0"/>
                <w:color w:val="auto"/>
                <w:kern w:val="0"/>
                <w:sz w:val="21"/>
                <w:szCs w:val="21"/>
                <w:lang w:val="en-US" w:eastAsia="zh-CN" w:bidi="ar"/>
              </w:rPr>
              <w:t>火灾次数</w:t>
            </w:r>
          </w:p>
        </w:tc>
        <w:tc>
          <w:tcPr>
            <w:tcW w:w="731" w:type="dxa"/>
            <w:shd w:val="clear" w:color="auto" w:fill="auto"/>
            <w:vAlign w:val="center"/>
          </w:tcPr>
          <w:p w14:paraId="1A93CF4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672EA88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w:t>
            </w:r>
          </w:p>
        </w:tc>
        <w:tc>
          <w:tcPr>
            <w:tcW w:w="1150" w:type="dxa"/>
            <w:shd w:val="clear" w:color="auto" w:fill="auto"/>
            <w:vAlign w:val="center"/>
          </w:tcPr>
          <w:p w14:paraId="674896B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次</w:t>
            </w:r>
          </w:p>
        </w:tc>
        <w:tc>
          <w:tcPr>
            <w:tcW w:w="712" w:type="dxa"/>
            <w:shd w:val="clear" w:color="auto" w:fill="auto"/>
            <w:vAlign w:val="center"/>
          </w:tcPr>
          <w:p w14:paraId="72107F5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10</w:t>
            </w:r>
          </w:p>
        </w:tc>
        <w:tc>
          <w:tcPr>
            <w:tcW w:w="1045" w:type="dxa"/>
            <w:shd w:val="clear" w:color="auto" w:fill="auto"/>
            <w:vAlign w:val="center"/>
          </w:tcPr>
          <w:p w14:paraId="5DD6AD5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0</w:t>
            </w:r>
            <w:r>
              <w:rPr>
                <w:rFonts w:hint="eastAsia" w:ascii="仿宋_GB2312" w:hAnsi="仿宋_GB2312" w:cs="仿宋_GB2312"/>
                <w:i w:val="0"/>
                <w:color w:val="auto"/>
                <w:kern w:val="0"/>
                <w:sz w:val="21"/>
                <w:szCs w:val="21"/>
                <w:lang w:val="en-US" w:eastAsia="zh-CN" w:bidi="ar"/>
              </w:rPr>
              <w:t>次</w:t>
            </w:r>
          </w:p>
        </w:tc>
      </w:tr>
      <w:tr w14:paraId="7D6E6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54BD75B7">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5F6C1FF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7C6334B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374EA6B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景区内生态资源的有效保护程度</w:t>
            </w:r>
          </w:p>
        </w:tc>
        <w:tc>
          <w:tcPr>
            <w:tcW w:w="731" w:type="dxa"/>
            <w:shd w:val="clear" w:color="auto" w:fill="auto"/>
            <w:vAlign w:val="center"/>
          </w:tcPr>
          <w:p w14:paraId="61D60BB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定性</w:t>
            </w:r>
          </w:p>
        </w:tc>
        <w:tc>
          <w:tcPr>
            <w:tcW w:w="879" w:type="dxa"/>
            <w:shd w:val="clear" w:color="auto" w:fill="auto"/>
            <w:vAlign w:val="center"/>
          </w:tcPr>
          <w:p w14:paraId="573AF2F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优良中低差</w:t>
            </w:r>
          </w:p>
        </w:tc>
        <w:tc>
          <w:tcPr>
            <w:tcW w:w="1150" w:type="dxa"/>
            <w:shd w:val="clear" w:color="auto" w:fill="auto"/>
            <w:vAlign w:val="center"/>
          </w:tcPr>
          <w:p w14:paraId="661A070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712" w:type="dxa"/>
            <w:shd w:val="clear" w:color="auto" w:fill="auto"/>
            <w:vAlign w:val="center"/>
          </w:tcPr>
          <w:p w14:paraId="40B4D17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5</w:t>
            </w:r>
          </w:p>
        </w:tc>
        <w:tc>
          <w:tcPr>
            <w:tcW w:w="1045" w:type="dxa"/>
            <w:shd w:val="clear" w:color="auto" w:fill="auto"/>
            <w:vAlign w:val="center"/>
          </w:tcPr>
          <w:p w14:paraId="586F3AA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优</w:t>
            </w:r>
          </w:p>
        </w:tc>
      </w:tr>
      <w:tr w14:paraId="48BA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96" w:hRule="atLeast"/>
          <w:jc w:val="center"/>
        </w:trPr>
        <w:tc>
          <w:tcPr>
            <w:tcW w:w="843" w:type="dxa"/>
            <w:vMerge w:val="continue"/>
            <w:shd w:val="clear" w:color="auto" w:fill="auto"/>
            <w:vAlign w:val="center"/>
          </w:tcPr>
          <w:p w14:paraId="0562158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shd w:val="clear" w:color="auto" w:fill="auto"/>
            <w:vAlign w:val="center"/>
          </w:tcPr>
          <w:p w14:paraId="4742DD9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满意度指标</w:t>
            </w:r>
          </w:p>
        </w:tc>
        <w:tc>
          <w:tcPr>
            <w:tcW w:w="508" w:type="dxa"/>
            <w:shd w:val="clear" w:color="auto" w:fill="auto"/>
            <w:vAlign w:val="center"/>
          </w:tcPr>
          <w:p w14:paraId="2925602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满意度指标</w:t>
            </w:r>
          </w:p>
        </w:tc>
        <w:tc>
          <w:tcPr>
            <w:tcW w:w="1962" w:type="dxa"/>
            <w:gridSpan w:val="2"/>
            <w:shd w:val="clear" w:color="auto" w:fill="auto"/>
            <w:vAlign w:val="center"/>
          </w:tcPr>
          <w:p w14:paraId="0565233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游客满意度</w:t>
            </w:r>
          </w:p>
        </w:tc>
        <w:tc>
          <w:tcPr>
            <w:tcW w:w="731" w:type="dxa"/>
            <w:shd w:val="clear" w:color="auto" w:fill="auto"/>
            <w:vAlign w:val="center"/>
          </w:tcPr>
          <w:p w14:paraId="1D4A948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391689C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90</w:t>
            </w:r>
          </w:p>
        </w:tc>
        <w:tc>
          <w:tcPr>
            <w:tcW w:w="1150" w:type="dxa"/>
            <w:shd w:val="clear" w:color="auto" w:fill="auto"/>
            <w:vAlign w:val="center"/>
          </w:tcPr>
          <w:p w14:paraId="40B2DB9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712" w:type="dxa"/>
            <w:shd w:val="clear" w:color="auto" w:fill="auto"/>
            <w:vAlign w:val="center"/>
          </w:tcPr>
          <w:p w14:paraId="126FC9F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5</w:t>
            </w:r>
          </w:p>
        </w:tc>
        <w:tc>
          <w:tcPr>
            <w:tcW w:w="1045" w:type="dxa"/>
            <w:shd w:val="clear" w:color="auto" w:fill="auto"/>
            <w:vAlign w:val="center"/>
          </w:tcPr>
          <w:p w14:paraId="24A0C1F5">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95%</w:t>
            </w:r>
          </w:p>
        </w:tc>
      </w:tr>
      <w:tr w14:paraId="2ACCD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29876EFD">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restart"/>
            <w:shd w:val="clear" w:color="auto" w:fill="auto"/>
            <w:vAlign w:val="center"/>
          </w:tcPr>
          <w:p w14:paraId="5C9663E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成本指标</w:t>
            </w:r>
          </w:p>
        </w:tc>
        <w:tc>
          <w:tcPr>
            <w:tcW w:w="508" w:type="dxa"/>
            <w:vMerge w:val="restart"/>
            <w:shd w:val="clear" w:color="auto" w:fill="auto"/>
            <w:vAlign w:val="center"/>
          </w:tcPr>
          <w:p w14:paraId="18F4F7A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经济成本指标</w:t>
            </w:r>
          </w:p>
        </w:tc>
        <w:tc>
          <w:tcPr>
            <w:tcW w:w="1962" w:type="dxa"/>
            <w:gridSpan w:val="2"/>
            <w:shd w:val="clear" w:color="auto" w:fill="auto"/>
            <w:vAlign w:val="center"/>
          </w:tcPr>
          <w:p w14:paraId="390C08A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人员成本</w:t>
            </w:r>
          </w:p>
        </w:tc>
        <w:tc>
          <w:tcPr>
            <w:tcW w:w="731" w:type="dxa"/>
            <w:shd w:val="clear" w:color="auto" w:fill="auto"/>
            <w:vAlign w:val="center"/>
          </w:tcPr>
          <w:p w14:paraId="7808918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49861F7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2100</w:t>
            </w:r>
          </w:p>
        </w:tc>
        <w:tc>
          <w:tcPr>
            <w:tcW w:w="1150" w:type="dxa"/>
            <w:shd w:val="clear" w:color="auto" w:fill="auto"/>
            <w:vAlign w:val="center"/>
          </w:tcPr>
          <w:p w14:paraId="17B5C45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万元</w:t>
            </w:r>
          </w:p>
        </w:tc>
        <w:tc>
          <w:tcPr>
            <w:tcW w:w="712" w:type="dxa"/>
            <w:shd w:val="clear" w:color="auto" w:fill="auto"/>
            <w:vAlign w:val="center"/>
          </w:tcPr>
          <w:p w14:paraId="2FBB92AC">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4</w:t>
            </w:r>
          </w:p>
        </w:tc>
        <w:tc>
          <w:tcPr>
            <w:tcW w:w="1045" w:type="dxa"/>
            <w:shd w:val="clear" w:color="auto" w:fill="auto"/>
            <w:vAlign w:val="center"/>
          </w:tcPr>
          <w:p w14:paraId="38B7294B">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cs="仿宋_GB2312"/>
                <w:i w:val="0"/>
                <w:color w:val="auto"/>
                <w:kern w:val="0"/>
                <w:sz w:val="21"/>
                <w:szCs w:val="21"/>
                <w:lang w:val="en-US" w:eastAsia="zh-CN" w:bidi="ar"/>
              </w:rPr>
              <w:t>2009.12万元</w:t>
            </w:r>
          </w:p>
        </w:tc>
      </w:tr>
      <w:tr w14:paraId="0FFAE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jc w:val="center"/>
        </w:trPr>
        <w:tc>
          <w:tcPr>
            <w:tcW w:w="843" w:type="dxa"/>
            <w:vMerge w:val="continue"/>
            <w:shd w:val="clear" w:color="auto" w:fill="auto"/>
            <w:vAlign w:val="center"/>
          </w:tcPr>
          <w:p w14:paraId="58BF110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5A4DB3B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07EA1C4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6976EC53">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日常运行成本</w:t>
            </w:r>
          </w:p>
        </w:tc>
        <w:tc>
          <w:tcPr>
            <w:tcW w:w="731" w:type="dxa"/>
            <w:shd w:val="clear" w:color="auto" w:fill="auto"/>
            <w:vAlign w:val="center"/>
          </w:tcPr>
          <w:p w14:paraId="728D820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60F8FE1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400</w:t>
            </w:r>
          </w:p>
        </w:tc>
        <w:tc>
          <w:tcPr>
            <w:tcW w:w="1150" w:type="dxa"/>
            <w:shd w:val="clear" w:color="auto" w:fill="auto"/>
            <w:vAlign w:val="center"/>
          </w:tcPr>
          <w:p w14:paraId="147FCF64">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万元</w:t>
            </w:r>
          </w:p>
        </w:tc>
        <w:tc>
          <w:tcPr>
            <w:tcW w:w="712" w:type="dxa"/>
            <w:shd w:val="clear" w:color="auto" w:fill="auto"/>
            <w:vAlign w:val="center"/>
          </w:tcPr>
          <w:p w14:paraId="0D37959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3</w:t>
            </w:r>
          </w:p>
        </w:tc>
        <w:tc>
          <w:tcPr>
            <w:tcW w:w="1045" w:type="dxa"/>
            <w:shd w:val="clear" w:color="auto" w:fill="auto"/>
            <w:vAlign w:val="center"/>
          </w:tcPr>
          <w:p w14:paraId="33CCD78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cs="仿宋_GB2312"/>
                <w:i w:val="0"/>
                <w:color w:val="auto"/>
                <w:kern w:val="0"/>
                <w:sz w:val="21"/>
                <w:szCs w:val="21"/>
                <w:lang w:val="en-US" w:eastAsia="zh-CN" w:bidi="ar"/>
              </w:rPr>
              <w:t>388.17万元</w:t>
            </w:r>
          </w:p>
        </w:tc>
      </w:tr>
      <w:tr w14:paraId="245DD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89" w:hRule="atLeast"/>
          <w:jc w:val="center"/>
        </w:trPr>
        <w:tc>
          <w:tcPr>
            <w:tcW w:w="843" w:type="dxa"/>
            <w:vMerge w:val="continue"/>
            <w:shd w:val="clear" w:color="auto" w:fill="auto"/>
            <w:vAlign w:val="center"/>
          </w:tcPr>
          <w:p w14:paraId="56ECBE36">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p>
        </w:tc>
        <w:tc>
          <w:tcPr>
            <w:tcW w:w="490" w:type="dxa"/>
            <w:vMerge w:val="continue"/>
            <w:shd w:val="clear" w:color="auto" w:fill="auto"/>
            <w:vAlign w:val="center"/>
          </w:tcPr>
          <w:p w14:paraId="40F8998F">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508" w:type="dxa"/>
            <w:vMerge w:val="continue"/>
            <w:shd w:val="clear" w:color="auto" w:fill="auto"/>
            <w:vAlign w:val="center"/>
          </w:tcPr>
          <w:p w14:paraId="0ADE5EA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p>
        </w:tc>
        <w:tc>
          <w:tcPr>
            <w:tcW w:w="1962" w:type="dxa"/>
            <w:gridSpan w:val="2"/>
            <w:shd w:val="clear" w:color="auto" w:fill="auto"/>
            <w:vAlign w:val="center"/>
          </w:tcPr>
          <w:p w14:paraId="7087D079">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项目运行成本</w:t>
            </w:r>
          </w:p>
        </w:tc>
        <w:tc>
          <w:tcPr>
            <w:tcW w:w="731" w:type="dxa"/>
            <w:shd w:val="clear" w:color="auto" w:fill="auto"/>
            <w:vAlign w:val="center"/>
          </w:tcPr>
          <w:p w14:paraId="2138A40E">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w:t>
            </w:r>
          </w:p>
        </w:tc>
        <w:tc>
          <w:tcPr>
            <w:tcW w:w="879" w:type="dxa"/>
            <w:shd w:val="clear" w:color="auto" w:fill="auto"/>
            <w:vAlign w:val="center"/>
          </w:tcPr>
          <w:p w14:paraId="149C3A38">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1350</w:t>
            </w:r>
          </w:p>
        </w:tc>
        <w:tc>
          <w:tcPr>
            <w:tcW w:w="1150" w:type="dxa"/>
            <w:shd w:val="clear" w:color="auto" w:fill="auto"/>
            <w:vAlign w:val="center"/>
          </w:tcPr>
          <w:p w14:paraId="085702A0">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万元</w:t>
            </w:r>
          </w:p>
        </w:tc>
        <w:tc>
          <w:tcPr>
            <w:tcW w:w="712" w:type="dxa"/>
            <w:shd w:val="clear" w:color="auto" w:fill="auto"/>
            <w:vAlign w:val="center"/>
          </w:tcPr>
          <w:p w14:paraId="41B5B9CA">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eastAsia" w:ascii="仿宋_GB2312" w:hAnsi="仿宋_GB2312" w:eastAsia="仿宋_GB2312" w:cs="仿宋_GB2312"/>
                <w:i w:val="0"/>
                <w:color w:val="auto"/>
                <w:kern w:val="0"/>
                <w:sz w:val="21"/>
                <w:szCs w:val="21"/>
                <w:lang w:val="en-US" w:eastAsia="zh-CN" w:bidi="ar"/>
              </w:rPr>
            </w:pPr>
            <w:r>
              <w:rPr>
                <w:rFonts w:hint="eastAsia" w:ascii="仿宋_GB2312" w:hAnsi="仿宋_GB2312" w:eastAsia="仿宋_GB2312" w:cs="仿宋_GB2312"/>
                <w:i w:val="0"/>
                <w:color w:val="auto"/>
                <w:kern w:val="0"/>
                <w:sz w:val="21"/>
                <w:szCs w:val="21"/>
                <w:lang w:val="en-US" w:eastAsia="zh-CN" w:bidi="ar"/>
              </w:rPr>
              <w:t>2</w:t>
            </w:r>
          </w:p>
        </w:tc>
        <w:tc>
          <w:tcPr>
            <w:tcW w:w="1045" w:type="dxa"/>
            <w:shd w:val="clear" w:color="auto" w:fill="auto"/>
            <w:vAlign w:val="center"/>
          </w:tcPr>
          <w:p w14:paraId="5F413ED1">
            <w:pPr>
              <w:keepNext w:val="0"/>
              <w:keepLines w:val="0"/>
              <w:pageBreakBefore w:val="0"/>
              <w:widowControl/>
              <w:suppressLineNumbers w:val="0"/>
              <w:kinsoku/>
              <w:wordWrap/>
              <w:overflowPunct/>
              <w:topLinePunct w:val="0"/>
              <w:autoSpaceDE w:val="0"/>
              <w:autoSpaceDN/>
              <w:bidi w:val="0"/>
              <w:spacing w:before="0" w:beforeAutospacing="0" w:after="0" w:afterAutospacing="0" w:line="440" w:lineRule="exact"/>
              <w:ind w:left="0" w:right="0" w:firstLine="0" w:firstLineChars="0"/>
              <w:jc w:val="center"/>
              <w:textAlignment w:val="center"/>
              <w:rPr>
                <w:rFonts w:hint="default" w:ascii="仿宋_GB2312" w:hAnsi="仿宋_GB2312" w:eastAsia="仿宋_GB2312" w:cs="仿宋_GB2312"/>
                <w:i w:val="0"/>
                <w:color w:val="auto"/>
                <w:kern w:val="0"/>
                <w:sz w:val="21"/>
                <w:szCs w:val="21"/>
                <w:lang w:val="en-US" w:eastAsia="zh-CN" w:bidi="ar"/>
              </w:rPr>
            </w:pPr>
            <w:r>
              <w:rPr>
                <w:rFonts w:hint="eastAsia" w:ascii="仿宋_GB2312" w:hAnsi="仿宋_GB2312" w:cs="仿宋_GB2312"/>
                <w:i w:val="0"/>
                <w:color w:val="auto"/>
                <w:kern w:val="0"/>
                <w:sz w:val="21"/>
                <w:szCs w:val="21"/>
                <w:lang w:val="en-US" w:eastAsia="zh-CN" w:bidi="ar"/>
              </w:rPr>
              <w:t>1337.92万元</w:t>
            </w:r>
          </w:p>
        </w:tc>
      </w:tr>
    </w:tbl>
    <w:p w14:paraId="667F9EE7">
      <w:pPr>
        <w:pStyle w:val="16"/>
        <w:pageBreakBefore w:val="0"/>
        <w:kinsoku/>
        <w:wordWrap/>
        <w:overflowPunct/>
        <w:topLinePunct w:val="0"/>
        <w:bidi w:val="0"/>
        <w:spacing w:line="440" w:lineRule="exact"/>
        <w:ind w:left="0" w:leftChars="0" w:firstLine="0" w:firstLineChars="0"/>
        <w:rPr>
          <w:rFonts w:hint="default" w:ascii="Times New Roman" w:hAnsi="Times New Roman" w:eastAsia="黑体" w:cs="Times New Roman"/>
          <w:color w:val="auto"/>
          <w:sz w:val="24"/>
          <w:szCs w:val="24"/>
          <w:highlight w:val="none"/>
          <w:lang w:val="en-US" w:eastAsia="zh-CN"/>
        </w:rPr>
      </w:pPr>
    </w:p>
    <w:p w14:paraId="2B153469">
      <w:pPr>
        <w:pageBreakBefore w:val="0"/>
        <w:kinsoku/>
        <w:wordWrap/>
        <w:overflowPunct/>
        <w:topLinePunct w:val="0"/>
        <w:bidi w:val="0"/>
        <w:spacing w:line="440" w:lineRule="exact"/>
      </w:pPr>
    </w:p>
    <w:p w14:paraId="347993AE">
      <w:pPr>
        <w:pageBreakBefore w:val="0"/>
        <w:kinsoku/>
        <w:wordWrap/>
        <w:overflowPunct/>
        <w:topLinePunct w:val="0"/>
        <w:bidi w:val="0"/>
        <w:spacing w:line="440" w:lineRule="exact"/>
      </w:pPr>
    </w:p>
    <w:p w14:paraId="4BE3D3F5">
      <w:pPr>
        <w:pageBreakBefore w:val="0"/>
        <w:kinsoku/>
        <w:wordWrap/>
        <w:overflowPunct/>
        <w:topLinePunct w:val="0"/>
        <w:bidi w:val="0"/>
        <w:spacing w:line="440" w:lineRule="exact"/>
        <w:rPr>
          <w:rFonts w:ascii="黑体" w:hAnsi="黑体" w:eastAsia="黑体"/>
          <w:sz w:val="32"/>
          <w:szCs w:val="32"/>
        </w:rPr>
      </w:pPr>
      <w:r>
        <w:rPr>
          <w:rFonts w:hint="eastAsia" w:ascii="黑体" w:hAnsi="黑体" w:eastAsia="黑体"/>
          <w:sz w:val="32"/>
          <w:szCs w:val="32"/>
        </w:rPr>
        <w:t>附件2</w:t>
      </w:r>
    </w:p>
    <w:p w14:paraId="214AD841">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科技成果转化资金项目</w:t>
      </w:r>
    </w:p>
    <w:p w14:paraId="529C442F">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专项预算项目支出绩效</w:t>
      </w:r>
      <w:r>
        <w:rPr>
          <w:rFonts w:hint="eastAsia" w:ascii="方正小标宋简体" w:hAnsi="方正小标宋简体" w:eastAsia="方正小标宋简体" w:cs="方正小标宋简体"/>
          <w:sz w:val="44"/>
          <w:szCs w:val="44"/>
          <w:lang w:val="en-US" w:eastAsia="zh-CN"/>
        </w:rPr>
        <w:t>评价</w:t>
      </w:r>
      <w:r>
        <w:rPr>
          <w:rFonts w:hint="eastAsia" w:ascii="方正小标宋简体" w:hAnsi="方正小标宋简体" w:eastAsia="方正小标宋简体" w:cs="方正小标宋简体"/>
          <w:sz w:val="44"/>
          <w:szCs w:val="44"/>
        </w:rPr>
        <w:t>报告</w:t>
      </w:r>
    </w:p>
    <w:p w14:paraId="0C385189">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rPr>
      </w:pPr>
    </w:p>
    <w:p w14:paraId="0034168F">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ascii="宋体" w:hAnsi="宋体"/>
          <w:color w:val="auto"/>
          <w:kern w:val="2"/>
          <w:sz w:val="32"/>
          <w:szCs w:val="32"/>
        </w:rPr>
      </w:pPr>
      <w:r>
        <w:rPr>
          <w:rFonts w:hint="eastAsia" w:ascii="仿宋_GB2312" w:hAnsi="仿宋_GB2312" w:eastAsia="仿宋_GB2312" w:cs="仿宋_GB2312"/>
          <w:i w:val="0"/>
          <w:iCs w:val="0"/>
          <w:caps w:val="0"/>
          <w:color w:val="2B2B2B"/>
          <w:spacing w:val="0"/>
          <w:sz w:val="32"/>
          <w:szCs w:val="32"/>
        </w:rPr>
        <w:t>为进一步规范财政资金管理，强化绩效和责任意识，切实提高</w:t>
      </w:r>
      <w:r>
        <w:rPr>
          <w:rFonts w:hint="eastAsia" w:ascii="仿宋_GB2312" w:hAnsi="仿宋_GB2312" w:eastAsia="仿宋_GB2312" w:cs="仿宋_GB2312"/>
          <w:i w:val="0"/>
          <w:iCs w:val="0"/>
          <w:caps w:val="0"/>
          <w:color w:val="2B2B2B"/>
          <w:spacing w:val="0"/>
          <w:sz w:val="32"/>
          <w:szCs w:val="32"/>
          <w:lang w:val="en-US" w:eastAsia="zh-CN"/>
        </w:rPr>
        <w:t>专项预算</w:t>
      </w:r>
      <w:r>
        <w:rPr>
          <w:rFonts w:hint="eastAsia" w:ascii="仿宋_GB2312" w:hAnsi="仿宋_GB2312" w:eastAsia="仿宋_GB2312" w:cs="仿宋_GB2312"/>
          <w:i w:val="0"/>
          <w:iCs w:val="0"/>
          <w:caps w:val="0"/>
          <w:color w:val="2B2B2B"/>
          <w:spacing w:val="0"/>
          <w:sz w:val="32"/>
          <w:szCs w:val="32"/>
        </w:rPr>
        <w:t>资金使用效益，</w:t>
      </w:r>
      <w:r>
        <w:rPr>
          <w:rFonts w:hint="eastAsia" w:ascii="仿宋_GB2312" w:hAnsi="仿宋_GB2312" w:eastAsia="仿宋_GB2312" w:cs="仿宋_GB2312"/>
          <w:i w:val="0"/>
          <w:iCs w:val="0"/>
          <w:caps w:val="0"/>
          <w:color w:val="2B2B2B"/>
          <w:spacing w:val="0"/>
          <w:sz w:val="32"/>
          <w:szCs w:val="32"/>
          <w:lang w:val="en-US" w:eastAsia="zh-CN"/>
        </w:rPr>
        <w:t>管理局按照省、州相关</w:t>
      </w:r>
      <w:r>
        <w:rPr>
          <w:rFonts w:hint="eastAsia" w:ascii="仿宋_GB2312" w:hAnsi="仿宋_GB2312" w:eastAsia="仿宋_GB2312" w:cs="仿宋_GB2312"/>
          <w:i w:val="0"/>
          <w:iCs w:val="0"/>
          <w:caps w:val="0"/>
          <w:color w:val="2B2B2B"/>
          <w:spacing w:val="0"/>
          <w:sz w:val="32"/>
          <w:szCs w:val="32"/>
        </w:rPr>
        <w:t>文件精神，根据项目的实际情况，结合项目预算执行率、项目效益等方面对专项</w:t>
      </w:r>
      <w:r>
        <w:rPr>
          <w:rFonts w:hint="eastAsia" w:ascii="仿宋_GB2312" w:hAnsi="仿宋_GB2312" w:eastAsia="仿宋_GB2312" w:cs="仿宋_GB2312"/>
          <w:i w:val="0"/>
          <w:iCs w:val="0"/>
          <w:caps w:val="0"/>
          <w:color w:val="2B2B2B"/>
          <w:spacing w:val="0"/>
          <w:sz w:val="32"/>
          <w:szCs w:val="32"/>
          <w:lang w:val="en-US" w:eastAsia="zh-CN"/>
        </w:rPr>
        <w:t>预算项目绩效开展了评价工作，</w:t>
      </w:r>
      <w:r>
        <w:rPr>
          <w:rFonts w:hint="eastAsia" w:ascii="仿宋_GB2312" w:hAnsi="仿宋_GB2312" w:eastAsia="仿宋_GB2312" w:cs="仿宋_GB2312"/>
          <w:i w:val="0"/>
          <w:iCs w:val="0"/>
          <w:caps w:val="0"/>
          <w:color w:val="2B2B2B"/>
          <w:spacing w:val="0"/>
          <w:sz w:val="32"/>
          <w:szCs w:val="32"/>
        </w:rPr>
        <w:t>现将情况报告如下</w:t>
      </w:r>
      <w:r>
        <w:rPr>
          <w:rFonts w:hint="eastAsia" w:ascii="仿宋_GB2312" w:hAnsi="仿宋_GB2312" w:eastAsia="仿宋_GB2312" w:cs="仿宋_GB2312"/>
          <w:i w:val="0"/>
          <w:iCs w:val="0"/>
          <w:caps w:val="0"/>
          <w:color w:val="2B2B2B"/>
          <w:spacing w:val="0"/>
          <w:sz w:val="32"/>
          <w:szCs w:val="32"/>
          <w:lang w:eastAsia="zh-CN"/>
        </w:rPr>
        <w:t>：</w:t>
      </w:r>
    </w:p>
    <w:p w14:paraId="065A215B">
      <w:pPr>
        <w:keepNext w:val="0"/>
        <w:keepLines w:val="0"/>
        <w:pageBreakBefore w:val="0"/>
        <w:kinsoku/>
        <w:wordWrap/>
        <w:overflowPunct/>
        <w:topLinePunct w:val="0"/>
        <w:autoSpaceDE/>
        <w:autoSpaceDN/>
        <w:bidi w:val="0"/>
        <w:adjustRightInd w:val="0"/>
        <w:snapToGrid w:val="0"/>
        <w:spacing w:line="440" w:lineRule="exact"/>
        <w:ind w:left="0" w:right="0" w:firstLine="420" w:firstLineChars="200"/>
        <w:textAlignment w:val="auto"/>
        <w:rPr>
          <w:rFonts w:ascii="黑体" w:hAnsi="宋体" w:eastAsia="黑体"/>
          <w:lang w:val="zh-CN"/>
        </w:rPr>
      </w:pPr>
      <w:r>
        <w:rPr>
          <w:rFonts w:hint="eastAsia" w:ascii="黑体" w:hAnsi="宋体" w:eastAsia="黑体"/>
        </w:rPr>
        <w:t>一、</w:t>
      </w:r>
      <w:r>
        <w:rPr>
          <w:rFonts w:hint="eastAsia" w:ascii="黑体" w:hAnsi="宋体" w:eastAsia="黑体"/>
          <w:lang w:val="zh-CN"/>
        </w:rPr>
        <w:t>项目概况</w:t>
      </w:r>
    </w:p>
    <w:p w14:paraId="30DB2EF2">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（一）设立背景及基本情况</w:t>
      </w:r>
    </w:p>
    <w:p w14:paraId="5D8BE57D">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zh-CN"/>
        </w:rPr>
      </w:pPr>
      <w:r>
        <w:rPr>
          <w:rFonts w:hint="eastAsia" w:ascii="仿宋_GB2312" w:hAnsi="仿宋_GB2312" w:eastAsia="仿宋_GB2312" w:cs="仿宋_GB2312"/>
          <w:b/>
          <w:color w:val="auto"/>
          <w:sz w:val="32"/>
          <w:szCs w:val="32"/>
          <w:highlight w:val="none"/>
          <w:u w:val="none"/>
          <w:lang w:val="en-US" w:eastAsia="zh-CN"/>
        </w:rPr>
        <w:t>1.项目背景</w:t>
      </w:r>
    </w:p>
    <w:p w14:paraId="72C357B7">
      <w:pPr>
        <w:pStyle w:val="38"/>
        <w:keepNext w:val="0"/>
        <w:keepLines w:val="0"/>
        <w:pageBreakBefore w:val="0"/>
        <w:kinsoku/>
        <w:wordWrap/>
        <w:overflowPunct/>
        <w:topLinePunct w:val="0"/>
        <w:autoSpaceDE/>
        <w:autoSpaceDN/>
        <w:bidi w:val="0"/>
        <w:spacing w:line="44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达古冰川风景名胜区的旅游资源丰富，但景区信息化程度不高，而且文旅、农旅融合信</w:t>
      </w:r>
      <w:r>
        <w:rPr>
          <w:rFonts w:hint="eastAsia" w:ascii="仿宋_GB2312" w:hAnsi="仿宋_GB2312" w:eastAsia="仿宋_GB2312" w:cs="仿宋_GB2312"/>
          <w:spacing w:val="1"/>
          <w:sz w:val="32"/>
          <w:szCs w:val="32"/>
        </w:rPr>
        <w:t>息化程度低等问题严重制约了景区的文旅产业的繁荣发展；同时，达</w:t>
      </w:r>
      <w:r>
        <w:rPr>
          <w:rFonts w:hint="eastAsia" w:ascii="仿宋_GB2312" w:hAnsi="仿宋_GB2312" w:eastAsia="仿宋_GB2312" w:cs="仿宋_GB2312"/>
          <w:sz w:val="32"/>
          <w:szCs w:val="32"/>
        </w:rPr>
        <w:t>古冰川信息化水平、能</w:t>
      </w:r>
      <w:r>
        <w:rPr>
          <w:rFonts w:hint="eastAsia" w:ascii="仿宋_GB2312" w:hAnsi="仿宋_GB2312" w:eastAsia="仿宋_GB2312" w:cs="仿宋_GB2312"/>
          <w:spacing w:val="1"/>
          <w:sz w:val="32"/>
          <w:szCs w:val="32"/>
        </w:rPr>
        <w:t>力相比其他景区，相对较为落后。因此，通过本项目研发一套满足</w:t>
      </w:r>
      <w:r>
        <w:rPr>
          <w:rFonts w:hint="eastAsia" w:ascii="仿宋_GB2312" w:hAnsi="仿宋_GB2312" w:eastAsia="仿宋_GB2312" w:cs="仿宋_GB2312"/>
          <w:sz w:val="32"/>
          <w:szCs w:val="32"/>
        </w:rPr>
        <w:t>达古冰川智慧</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平</w:t>
      </w:r>
      <w:r>
        <w:rPr>
          <w:rFonts w:hint="eastAsia" w:ascii="仿宋_GB2312" w:hAnsi="仿宋_GB2312" w:eastAsia="仿宋_GB2312" w:cs="仿宋_GB2312"/>
          <w:spacing w:val="-1"/>
          <w:sz w:val="32"/>
          <w:szCs w:val="32"/>
        </w:rPr>
        <w:t>台，其目的是强化景区智慧化管理水平。</w:t>
      </w:r>
    </w:p>
    <w:p w14:paraId="7BF40072">
      <w:pPr>
        <w:pStyle w:val="38"/>
        <w:keepNext w:val="0"/>
        <w:keepLines w:val="0"/>
        <w:pageBreakBefore w:val="0"/>
        <w:kinsoku/>
        <w:wordWrap/>
        <w:overflowPunct/>
        <w:topLinePunct w:val="0"/>
        <w:autoSpaceDE/>
        <w:autoSpaceDN/>
        <w:bidi w:val="0"/>
        <w:spacing w:line="44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该</w:t>
      </w:r>
      <w:r>
        <w:rPr>
          <w:rFonts w:hint="eastAsia" w:ascii="仿宋_GB2312" w:hAnsi="仿宋_GB2312" w:eastAsia="仿宋_GB2312" w:cs="仿宋_GB2312"/>
          <w:sz w:val="32"/>
          <w:szCs w:val="32"/>
        </w:rPr>
        <w:t>项目立足阿坝州丰富的特色文化与旅游资源为背景，为游客带来更多便捷性和更好的</w:t>
      </w:r>
      <w:r>
        <w:rPr>
          <w:rFonts w:hint="eastAsia" w:ascii="仿宋_GB2312" w:hAnsi="仿宋_GB2312" w:eastAsia="仿宋_GB2312" w:cs="仿宋_GB2312"/>
          <w:spacing w:val="2"/>
          <w:sz w:val="32"/>
          <w:szCs w:val="32"/>
        </w:rPr>
        <w:t>体验效果为目的，将授权发明专利《基于云计算的微服务框架方法》作为本项目核心技术，以大数据、云计算和人工智能等新一代信息技术为基础开发达古冰川的智慧旅游服务平台，</w:t>
      </w:r>
      <w:r>
        <w:rPr>
          <w:rFonts w:hint="eastAsia" w:ascii="仿宋_GB2312" w:hAnsi="仿宋_GB2312" w:eastAsia="仿宋_GB2312" w:cs="仿宋_GB2312"/>
          <w:spacing w:val="1"/>
          <w:sz w:val="32"/>
          <w:szCs w:val="32"/>
        </w:rPr>
        <w:t>从而研发高效的达古冰川智慧旅游大数据云服务平台，实现成果转化，并在达古冰川进行示</w:t>
      </w:r>
      <w:r>
        <w:rPr>
          <w:rFonts w:hint="eastAsia" w:ascii="仿宋_GB2312" w:hAnsi="仿宋_GB2312" w:eastAsia="仿宋_GB2312" w:cs="仿宋_GB2312"/>
          <w:spacing w:val="-1"/>
          <w:sz w:val="32"/>
          <w:szCs w:val="32"/>
        </w:rPr>
        <w:t>范应用。</w:t>
      </w:r>
    </w:p>
    <w:p w14:paraId="37250AE3">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zh-CN"/>
        </w:rPr>
      </w:pPr>
      <w:r>
        <w:rPr>
          <w:rFonts w:hint="eastAsia" w:ascii="仿宋_GB2312" w:hAnsi="仿宋_GB2312" w:cs="仿宋_GB2312"/>
          <w:b/>
          <w:color w:val="auto"/>
          <w:sz w:val="32"/>
          <w:szCs w:val="32"/>
          <w:highlight w:val="none"/>
          <w:u w:val="none"/>
          <w:lang w:val="en-US" w:eastAsia="zh-CN"/>
        </w:rPr>
        <w:t>2.</w:t>
      </w:r>
      <w:r>
        <w:rPr>
          <w:rFonts w:hint="eastAsia" w:ascii="仿宋_GB2312" w:hAnsi="仿宋_GB2312" w:eastAsia="仿宋_GB2312" w:cs="仿宋_GB2312"/>
          <w:b/>
          <w:color w:val="auto"/>
          <w:sz w:val="32"/>
          <w:szCs w:val="32"/>
          <w:highlight w:val="none"/>
          <w:u w:val="none"/>
          <w:lang w:val="en-US" w:eastAsia="zh-CN"/>
        </w:rPr>
        <w:t>项目</w:t>
      </w:r>
      <w:r>
        <w:rPr>
          <w:rFonts w:hint="eastAsia" w:ascii="仿宋_GB2312" w:hAnsi="仿宋_GB2312" w:eastAsia="仿宋_GB2312" w:cs="仿宋_GB2312"/>
          <w:b/>
          <w:color w:val="auto"/>
          <w:sz w:val="32"/>
          <w:szCs w:val="32"/>
          <w:highlight w:val="none"/>
          <w:u w:val="none"/>
          <w:lang w:val="zh-CN"/>
        </w:rPr>
        <w:t>基本情况</w:t>
      </w:r>
    </w:p>
    <w:p w14:paraId="0CD82C85">
      <w:pPr>
        <w:keepNext w:val="0"/>
        <w:keepLines w:val="0"/>
        <w:pageBreakBefore w:val="0"/>
        <w:widowControl/>
        <w:shd w:val="clear" w:color="auto" w:fill="FFFFFF"/>
        <w:kinsoku/>
        <w:wordWrap/>
        <w:overflowPunct/>
        <w:topLinePunct w:val="0"/>
        <w:autoSpaceDE/>
        <w:autoSpaceDN/>
        <w:bidi w:val="0"/>
        <w:spacing w:line="440" w:lineRule="exact"/>
        <w:ind w:left="0" w:right="0" w:firstLine="640" w:firstLineChars="200"/>
        <w:textAlignment w:val="auto"/>
        <w:rPr>
          <w:rFonts w:hint="eastAsia" w:ascii="仿宋_GB2312" w:hAnsi="仿宋_GB2312" w:eastAsia="仿宋_GB2312" w:cs="仿宋_GB2312"/>
          <w:spacing w:val="1"/>
          <w:kern w:val="2"/>
          <w:sz w:val="32"/>
          <w:szCs w:val="32"/>
          <w:lang w:val="en-US" w:eastAsia="zh-CN" w:bidi="ar-SA"/>
        </w:rPr>
      </w:pPr>
      <w:r>
        <w:rPr>
          <w:rFonts w:hint="eastAsia" w:ascii="仿宋_GB2312" w:hAnsi="仿宋_GB2312" w:eastAsia="仿宋_GB2312" w:cs="仿宋_GB2312"/>
          <w:b w:val="0"/>
          <w:bCs w:val="0"/>
          <w:kern w:val="0"/>
          <w:sz w:val="32"/>
          <w:szCs w:val="32"/>
          <w:lang w:val="en-US" w:eastAsia="zh-CN"/>
        </w:rPr>
        <w:t>该项目</w:t>
      </w:r>
      <w:r>
        <w:rPr>
          <w:rFonts w:hint="eastAsia" w:ascii="仿宋_GB2312" w:hAnsi="仿宋_GB2312" w:eastAsia="仿宋_GB2312" w:cs="仿宋_GB2312"/>
          <w:b w:val="0"/>
          <w:bCs w:val="0"/>
          <w:sz w:val="32"/>
          <w:szCs w:val="32"/>
          <w:lang w:val="en-US" w:eastAsia="zh-CN"/>
        </w:rPr>
        <w:t>于202</w:t>
      </w:r>
      <w:r>
        <w:rPr>
          <w:rFonts w:hint="eastAsia" w:ascii="仿宋_GB2312" w:hAnsi="仿宋_GB2312" w:cs="仿宋_GB2312"/>
          <w:b w:val="0"/>
          <w:bCs w:val="0"/>
          <w:sz w:val="32"/>
          <w:szCs w:val="32"/>
          <w:lang w:val="en-US" w:eastAsia="zh-CN"/>
        </w:rPr>
        <w:t>2</w:t>
      </w:r>
      <w:r>
        <w:rPr>
          <w:rFonts w:hint="eastAsia" w:ascii="仿宋_GB2312" w:hAnsi="仿宋_GB2312" w:eastAsia="仿宋_GB2312" w:cs="仿宋_GB2312"/>
          <w:b w:val="0"/>
          <w:bCs w:val="0"/>
          <w:sz w:val="32"/>
          <w:szCs w:val="32"/>
          <w:lang w:val="en-US" w:eastAsia="zh-CN"/>
        </w:rPr>
        <w:t>年</w:t>
      </w:r>
      <w:r>
        <w:rPr>
          <w:rFonts w:hint="eastAsia" w:ascii="仿宋_GB2312" w:hAnsi="仿宋_GB2312" w:cs="仿宋_GB2312"/>
          <w:b w:val="0"/>
          <w:bCs w:val="0"/>
          <w:sz w:val="32"/>
          <w:szCs w:val="32"/>
          <w:lang w:val="en-US" w:eastAsia="zh-CN"/>
        </w:rPr>
        <w:t>6</w:t>
      </w:r>
      <w:r>
        <w:rPr>
          <w:rFonts w:hint="eastAsia" w:ascii="仿宋_GB2312" w:hAnsi="仿宋_GB2312" w:eastAsia="仿宋_GB2312" w:cs="仿宋_GB2312"/>
          <w:b w:val="0"/>
          <w:bCs w:val="0"/>
          <w:sz w:val="32"/>
          <w:szCs w:val="32"/>
          <w:lang w:val="en-US" w:eastAsia="zh-CN"/>
        </w:rPr>
        <w:t>月立项</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项目</w:t>
      </w:r>
      <w:r>
        <w:rPr>
          <w:rFonts w:hint="eastAsia" w:ascii="仿宋_GB2312" w:hAnsi="仿宋_GB2312" w:eastAsia="仿宋_GB2312" w:cs="仿宋_GB2312"/>
          <w:spacing w:val="1"/>
          <w:kern w:val="2"/>
          <w:sz w:val="32"/>
          <w:szCs w:val="32"/>
          <w:lang w:val="en-US" w:eastAsia="zh-CN" w:bidi="ar-SA"/>
        </w:rPr>
        <w:t>建设年限为两年</w:t>
      </w:r>
      <w:r>
        <w:rPr>
          <w:rFonts w:hint="eastAsia" w:ascii="仿宋_GB2312" w:hAnsi="仿宋_GB2312" w:cs="仿宋_GB2312"/>
          <w:b w:val="0"/>
          <w:bCs w:val="0"/>
          <w:sz w:val="32"/>
          <w:szCs w:val="32"/>
          <w:lang w:val="en-US" w:eastAsia="zh-CN"/>
        </w:rPr>
        <w:t>，项目</w:t>
      </w:r>
      <w:r>
        <w:rPr>
          <w:rFonts w:hint="eastAsia" w:ascii="仿宋_GB2312" w:hAnsi="仿宋_GB2312" w:eastAsia="仿宋_GB2312" w:cs="仿宋_GB2312"/>
          <w:b w:val="0"/>
          <w:bCs w:val="0"/>
          <w:sz w:val="32"/>
          <w:szCs w:val="32"/>
          <w:lang w:val="en-US" w:eastAsia="zh-CN"/>
        </w:rPr>
        <w:t>资金</w:t>
      </w:r>
      <w:r>
        <w:rPr>
          <w:rFonts w:hint="eastAsia" w:ascii="仿宋_GB2312" w:hAnsi="仿宋_GB2312" w:eastAsia="仿宋_GB2312" w:cs="仿宋_GB2312"/>
          <w:spacing w:val="1"/>
          <w:kern w:val="2"/>
          <w:sz w:val="32"/>
          <w:szCs w:val="32"/>
          <w:lang w:val="en-US" w:eastAsia="zh-CN" w:bidi="ar-SA"/>
        </w:rPr>
        <w:t>为</w:t>
      </w:r>
      <w:r>
        <w:rPr>
          <w:rFonts w:hint="eastAsia" w:ascii="仿宋_GB2312" w:hAnsi="仿宋_GB2312" w:eastAsia="仿宋_GB2312" w:cs="仿宋_GB2312"/>
          <w:spacing w:val="1"/>
          <w:kern w:val="2"/>
          <w:sz w:val="32"/>
          <w:szCs w:val="32"/>
          <w:lang w:val="en-US" w:eastAsia="en-US" w:bidi="ar-SA"/>
        </w:rPr>
        <w:t>阿坝州2022年度科技成果转化资金项目</w:t>
      </w:r>
      <w:r>
        <w:rPr>
          <w:rFonts w:hint="eastAsia" w:ascii="仿宋_GB2312" w:hAnsi="仿宋_GB2312" w:eastAsia="仿宋_GB2312" w:cs="仿宋_GB2312"/>
          <w:spacing w:val="1"/>
          <w:kern w:val="2"/>
          <w:sz w:val="32"/>
          <w:szCs w:val="32"/>
          <w:lang w:val="en-US" w:eastAsia="zh-CN" w:bidi="ar-SA"/>
        </w:rPr>
        <w:t>。</w:t>
      </w:r>
    </w:p>
    <w:p w14:paraId="5DEE0C94">
      <w:pPr>
        <w:pStyle w:val="38"/>
        <w:keepNext w:val="0"/>
        <w:keepLines w:val="0"/>
        <w:pageBreakBefore w:val="0"/>
        <w:kinsoku/>
        <w:wordWrap/>
        <w:overflowPunct/>
        <w:topLinePunct w:val="0"/>
        <w:autoSpaceDE/>
        <w:autoSpaceDN/>
        <w:bidi w:val="0"/>
        <w:spacing w:line="440" w:lineRule="exact"/>
        <w:ind w:right="0" w:firstLine="644" w:firstLineChars="200"/>
        <w:jc w:val="both"/>
        <w:textAlignment w:val="auto"/>
        <w:rPr>
          <w:rFonts w:hint="default"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spacing w:val="1"/>
          <w:kern w:val="2"/>
          <w:sz w:val="32"/>
          <w:szCs w:val="32"/>
          <w:lang w:val="en-US" w:eastAsia="en-US" w:bidi="ar-SA"/>
        </w:rPr>
        <w:t>项目</w:t>
      </w:r>
      <w:r>
        <w:rPr>
          <w:rFonts w:hint="eastAsia" w:ascii="仿宋_GB2312" w:hAnsi="仿宋_GB2312" w:eastAsia="仿宋_GB2312" w:cs="仿宋_GB2312"/>
          <w:spacing w:val="1"/>
          <w:kern w:val="2"/>
          <w:sz w:val="32"/>
          <w:szCs w:val="32"/>
          <w:lang w:val="en-US" w:eastAsia="zh-CN" w:bidi="ar-SA"/>
        </w:rPr>
        <w:t>主要</w:t>
      </w:r>
      <w:r>
        <w:rPr>
          <w:rFonts w:hint="eastAsia" w:ascii="仿宋_GB2312" w:hAnsi="仿宋_GB2312" w:eastAsia="仿宋_GB2312" w:cs="仿宋_GB2312"/>
          <w:spacing w:val="1"/>
          <w:kern w:val="2"/>
          <w:sz w:val="32"/>
          <w:szCs w:val="32"/>
          <w:lang w:val="en-US" w:eastAsia="en-US" w:bidi="ar-SA"/>
        </w:rPr>
        <w:t>研发的平台以提取文化与旅</w:t>
      </w:r>
      <w:r>
        <w:rPr>
          <w:rFonts w:hint="eastAsia" w:ascii="仿宋_GB2312" w:hAnsi="仿宋_GB2312" w:eastAsia="仿宋_GB2312" w:cs="仿宋_GB2312"/>
          <w:sz w:val="32"/>
          <w:szCs w:val="32"/>
        </w:rPr>
        <w:t>游特征为纽带，并有效将</w:t>
      </w:r>
      <w:r>
        <w:rPr>
          <w:rFonts w:hint="eastAsia" w:ascii="仿宋_GB2312" w:hAnsi="仿宋_GB2312" w:eastAsia="仿宋_GB2312" w:cs="仿宋_GB2312"/>
          <w:spacing w:val="-1"/>
          <w:sz w:val="32"/>
          <w:szCs w:val="32"/>
        </w:rPr>
        <w:t>信息技术与文化产业、旅</w:t>
      </w:r>
      <w:r>
        <w:rPr>
          <w:rFonts w:hint="eastAsia" w:ascii="仿宋_GB2312" w:hAnsi="仿宋_GB2312" w:eastAsia="仿宋_GB2312" w:cs="仿宋_GB2312"/>
          <w:spacing w:val="1"/>
          <w:sz w:val="32"/>
          <w:szCs w:val="32"/>
        </w:rPr>
        <w:t>游产业相融合，提升达古冰川景区旅游发展的科技支撑能力；基于深度学习和语义分析等关键技术深入挖掘冰川、彩林、本土特色与旅游融合特征及深层次的语义信息、文化与旅游间关系，从而提升文旅产</w:t>
      </w:r>
      <w:r>
        <w:rPr>
          <w:rFonts w:hint="eastAsia" w:ascii="仿宋_GB2312" w:hAnsi="仿宋_GB2312" w:eastAsia="仿宋_GB2312" w:cs="仿宋_GB2312"/>
          <w:sz w:val="32"/>
          <w:szCs w:val="32"/>
        </w:rPr>
        <w:t>业发展内涵，实现文旅产业品牌化、特色化，满足人民群众对文化旅游的需求，为达古冰川文化与旅游的高质量融合发</w:t>
      </w:r>
      <w:r>
        <w:rPr>
          <w:rFonts w:hint="eastAsia" w:ascii="仿宋_GB2312" w:hAnsi="仿宋_GB2312" w:eastAsia="仿宋_GB2312" w:cs="仿宋_GB2312"/>
          <w:spacing w:val="-1"/>
          <w:sz w:val="32"/>
          <w:szCs w:val="32"/>
        </w:rPr>
        <w:t>展贡献力量。</w:t>
      </w:r>
    </w:p>
    <w:p w14:paraId="102747F7">
      <w:pPr>
        <w:keepNext w:val="0"/>
        <w:keepLines w:val="0"/>
        <w:pageBreakBefore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（二）实施目的及支持方向</w:t>
      </w:r>
    </w:p>
    <w:p w14:paraId="08EA40F4">
      <w:pPr>
        <w:keepNext w:val="0"/>
        <w:keepLines w:val="0"/>
        <w:pageBreakBefore w:val="0"/>
        <w:widowControl/>
        <w:shd w:val="clear" w:color="auto" w:fill="FFFFFF"/>
        <w:kinsoku/>
        <w:wordWrap/>
        <w:overflowPunct/>
        <w:topLinePunct w:val="0"/>
        <w:autoSpaceDE/>
        <w:autoSpaceDN/>
        <w:bidi w:val="0"/>
        <w:spacing w:line="440" w:lineRule="exact"/>
        <w:ind w:left="0" w:righ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1.项目资金管理办法制定情况</w:t>
      </w:r>
    </w:p>
    <w:p w14:paraId="0795AFFF">
      <w:pPr>
        <w:keepNext w:val="0"/>
        <w:keepLines w:val="0"/>
        <w:pageBreakBefore w:val="0"/>
        <w:widowControl/>
        <w:shd w:val="clear" w:color="auto" w:fill="FFFFFF"/>
        <w:kinsoku/>
        <w:wordWrap/>
        <w:overflowPunct/>
        <w:topLinePunct w:val="0"/>
        <w:autoSpaceDE/>
        <w:autoSpaceDN/>
        <w:bidi w:val="0"/>
        <w:spacing w:line="440" w:lineRule="exact"/>
        <w:ind w:left="0" w:right="0" w:firstLine="640" w:firstLineChars="200"/>
        <w:textAlignment w:val="auto"/>
        <w:rPr>
          <w:rFonts w:hint="eastAsia" w:ascii="仿宋_GB2312" w:hAnsi="仿宋_GB2312" w:eastAsia="仿宋_GB2312" w:cs="仿宋_GB2312"/>
          <w:color w:val="auto"/>
          <w:kern w:val="0"/>
          <w:sz w:val="32"/>
          <w:szCs w:val="32"/>
          <w:highlight w:val="none"/>
          <w:u w:val="none"/>
          <w:shd w:val="clear" w:color="auto" w:fill="FFFFFF"/>
          <w:lang w:val="en-US" w:eastAsia="zh-CN"/>
        </w:rPr>
      </w:pPr>
      <w:r>
        <w:rPr>
          <w:rFonts w:hint="eastAsia" w:ascii="仿宋_GB2312" w:hAnsi="仿宋_GB2312" w:eastAsia="仿宋_GB2312" w:cs="仿宋_GB2312"/>
          <w:b w:val="0"/>
          <w:bCs/>
          <w:color w:val="auto"/>
          <w:sz w:val="32"/>
          <w:szCs w:val="32"/>
          <w:highlight w:val="none"/>
          <w:u w:val="none"/>
          <w:lang w:val="en-US" w:eastAsia="zh-CN"/>
        </w:rPr>
        <w:t>该</w:t>
      </w:r>
      <w:r>
        <w:rPr>
          <w:rFonts w:hint="eastAsia" w:ascii="仿宋_GB2312" w:hAnsi="仿宋_GB2312" w:eastAsia="仿宋_GB2312" w:cs="仿宋_GB2312"/>
          <w:color w:val="auto"/>
          <w:kern w:val="0"/>
          <w:sz w:val="32"/>
          <w:szCs w:val="32"/>
          <w:highlight w:val="none"/>
          <w:u w:val="none"/>
          <w:shd w:val="clear" w:color="auto" w:fill="FFFFFF"/>
          <w:lang w:val="en-US" w:eastAsia="zh-CN"/>
        </w:rPr>
        <w:t>项目资金</w:t>
      </w:r>
      <w:r>
        <w:rPr>
          <w:rFonts w:hint="eastAsia" w:ascii="仿宋_GB2312" w:hAnsi="仿宋_GB2312" w:eastAsia="仿宋_GB2312" w:cs="仿宋_GB2312"/>
          <w:color w:val="auto"/>
          <w:kern w:val="0"/>
          <w:sz w:val="32"/>
          <w:szCs w:val="32"/>
          <w:highlight w:val="none"/>
          <w:u w:val="none"/>
          <w:shd w:val="clear" w:color="auto" w:fill="FFFFFF"/>
          <w:lang w:val="zh-CN"/>
        </w:rPr>
        <w:t>管理办法</w:t>
      </w:r>
      <w:r>
        <w:rPr>
          <w:rFonts w:hint="eastAsia" w:ascii="仿宋_GB2312" w:hAnsi="仿宋_GB2312" w:eastAsia="仿宋_GB2312" w:cs="仿宋_GB2312"/>
          <w:color w:val="auto"/>
          <w:kern w:val="0"/>
          <w:sz w:val="32"/>
          <w:szCs w:val="32"/>
          <w:highlight w:val="none"/>
          <w:u w:val="none"/>
          <w:shd w:val="clear" w:color="auto" w:fill="FFFFFF"/>
          <w:lang w:val="en-US" w:eastAsia="zh-CN"/>
        </w:rPr>
        <w:t>制度体系完善，不存在管理制度缺失、管理办法过期等情况。</w:t>
      </w:r>
    </w:p>
    <w:p w14:paraId="61DC2EBB">
      <w:pPr>
        <w:keepNext w:val="0"/>
        <w:keepLines w:val="0"/>
        <w:pageBreakBefore w:val="0"/>
        <w:widowControl/>
        <w:numPr>
          <w:ilvl w:val="0"/>
          <w:numId w:val="0"/>
        </w:numPr>
        <w:shd w:val="clear" w:color="auto" w:fill="FFFFFF"/>
        <w:kinsoku/>
        <w:wordWrap/>
        <w:overflowPunct/>
        <w:topLinePunct w:val="0"/>
        <w:autoSpaceDE/>
        <w:autoSpaceDN/>
        <w:bidi w:val="0"/>
        <w:spacing w:line="440" w:lineRule="exact"/>
        <w:ind w:left="0" w:right="0" w:firstLine="643" w:firstLineChars="200"/>
        <w:textAlignment w:val="auto"/>
        <w:rPr>
          <w:rFonts w:hint="eastAsia" w:ascii="仿宋_GB2312" w:hAnsi="仿宋_GB2312" w:eastAsia="仿宋_GB2312" w:cs="仿宋_GB2312"/>
          <w:b/>
          <w:bCs/>
          <w:color w:val="auto"/>
          <w:kern w:val="0"/>
          <w:sz w:val="32"/>
          <w:szCs w:val="32"/>
          <w:highlight w:val="none"/>
          <w:u w:val="none"/>
          <w:shd w:val="clear" w:color="auto" w:fill="FFFFFF"/>
          <w:lang w:val="en-US" w:eastAsia="zh-CN"/>
        </w:rPr>
      </w:pPr>
      <w:r>
        <w:rPr>
          <w:rFonts w:hint="eastAsia" w:ascii="仿宋_GB2312" w:hAnsi="仿宋_GB2312" w:eastAsia="仿宋_GB2312" w:cs="仿宋_GB2312"/>
          <w:b/>
          <w:bCs/>
          <w:color w:val="auto"/>
          <w:kern w:val="0"/>
          <w:sz w:val="32"/>
          <w:szCs w:val="32"/>
          <w:highlight w:val="none"/>
          <w:u w:val="none"/>
          <w:shd w:val="clear" w:color="auto" w:fill="FFFFFF"/>
          <w:lang w:val="en-US" w:eastAsia="zh-CN"/>
        </w:rPr>
        <w:t>2.项目实施目的和主要工作任务</w:t>
      </w:r>
    </w:p>
    <w:p w14:paraId="15EA2E5A">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（三）预算安排及分配管理</w:t>
      </w:r>
    </w:p>
    <w:p w14:paraId="1981D20F">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en-US" w:eastAsia="zh-CN" w:bidi="ar-SA"/>
        </w:rPr>
      </w:pPr>
      <w:r>
        <w:rPr>
          <w:rFonts w:hint="eastAsia" w:ascii="仿宋_GB2312" w:hAnsi="仿宋_GB2312" w:eastAsia="仿宋_GB2312" w:cs="仿宋_GB2312"/>
          <w:spacing w:val="1"/>
          <w:kern w:val="2"/>
          <w:sz w:val="32"/>
          <w:szCs w:val="32"/>
          <w:lang w:val="en-US" w:eastAsia="zh-CN" w:bidi="ar-SA"/>
        </w:rPr>
        <w:t>本项目预算资金35万元，按照《阿坝州科技计划项目管理办法》《阿坝州科技计划项目经费管理办法》，按立项后到账的70%经费为24.5万元，全部为州级科技成果转化资金，资金到位及时，到位率100%。</w:t>
      </w:r>
      <w:r>
        <w:rPr>
          <w:rFonts w:hint="eastAsia" w:ascii="仿宋_GB2312" w:hAnsi="仿宋_GB2312" w:eastAsia="仿宋_GB2312" w:cs="仿宋_GB2312"/>
          <w:spacing w:val="1"/>
          <w:kern w:val="2"/>
          <w:sz w:val="32"/>
          <w:szCs w:val="32"/>
          <w:lang w:val="zh-CN" w:eastAsia="zh-CN" w:bidi="ar-SA"/>
        </w:rPr>
        <w:t>项目经费立项和批复符合资金管理办法等相关规定。</w:t>
      </w:r>
    </w:p>
    <w:p w14:paraId="0E78601A">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（四）项目</w:t>
      </w:r>
      <w:r>
        <w:rPr>
          <w:rFonts w:hint="eastAsia" w:ascii="仿宋_GB2312" w:hAnsi="仿宋_GB2312" w:eastAsia="仿宋_GB2312" w:cs="仿宋_GB2312"/>
          <w:b/>
          <w:color w:val="auto"/>
          <w:sz w:val="32"/>
          <w:szCs w:val="32"/>
          <w:highlight w:val="none"/>
          <w:u w:val="none"/>
          <w:lang w:val="zh-CN" w:eastAsia="zh-CN"/>
        </w:rPr>
        <w:t>绩效目标</w:t>
      </w:r>
      <w:r>
        <w:rPr>
          <w:rFonts w:hint="eastAsia" w:ascii="仿宋_GB2312" w:hAnsi="仿宋_GB2312" w:eastAsia="仿宋_GB2312" w:cs="仿宋_GB2312"/>
          <w:b/>
          <w:color w:val="auto"/>
          <w:sz w:val="32"/>
          <w:szCs w:val="32"/>
          <w:highlight w:val="none"/>
          <w:u w:val="none"/>
          <w:lang w:val="en-US" w:eastAsia="zh-CN"/>
        </w:rPr>
        <w:t>设置</w:t>
      </w:r>
    </w:p>
    <w:p w14:paraId="1AA4AD82">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1.目标设置情况</w:t>
      </w:r>
    </w:p>
    <w:p w14:paraId="32544402">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en-US" w:eastAsia="zh-CN" w:bidi="ar-SA"/>
        </w:rPr>
      </w:pPr>
      <w:r>
        <w:rPr>
          <w:rFonts w:hint="eastAsia" w:ascii="仿宋_GB2312" w:hAnsi="仿宋_GB2312" w:eastAsia="仿宋_GB2312" w:cs="仿宋_GB2312"/>
          <w:spacing w:val="1"/>
          <w:kern w:val="2"/>
          <w:sz w:val="32"/>
          <w:szCs w:val="32"/>
          <w:lang w:val="en-US" w:eastAsia="zh-CN" w:bidi="ar-SA"/>
        </w:rPr>
        <w:t>项目具体目标为：以“基于云计算的微服务架构方法”授权发明专利为核心，研发1套基于云微服务的达古冰川智慧旅游服务平台，</w:t>
      </w:r>
      <w:r>
        <w:rPr>
          <w:rFonts w:hint="eastAsia" w:ascii="仿宋_GB2312" w:hAnsi="仿宋_GB2312" w:eastAsia="仿宋_GB2312" w:cs="仿宋_GB2312"/>
          <w:spacing w:val="1"/>
          <w:kern w:val="2"/>
          <w:sz w:val="32"/>
          <w:szCs w:val="32"/>
          <w:lang w:val="zh-CN" w:eastAsia="zh-CN" w:bidi="ar-SA"/>
        </w:rPr>
        <w:t>软件作品登记2—</w:t>
      </w:r>
      <w:r>
        <w:rPr>
          <w:rFonts w:hint="eastAsia" w:ascii="仿宋_GB2312" w:hAnsi="仿宋_GB2312" w:eastAsia="仿宋_GB2312" w:cs="仿宋_GB2312"/>
          <w:spacing w:val="1"/>
          <w:kern w:val="2"/>
          <w:sz w:val="32"/>
          <w:szCs w:val="32"/>
          <w:lang w:val="en-US" w:eastAsia="zh-CN" w:bidi="ar-SA"/>
        </w:rPr>
        <w:t>3</w:t>
      </w:r>
      <w:r>
        <w:rPr>
          <w:rFonts w:hint="eastAsia" w:ascii="仿宋_GB2312" w:hAnsi="仿宋_GB2312" w:eastAsia="仿宋_GB2312" w:cs="仿宋_GB2312"/>
          <w:spacing w:val="1"/>
          <w:kern w:val="2"/>
          <w:sz w:val="32"/>
          <w:szCs w:val="32"/>
          <w:lang w:val="zh-CN" w:eastAsia="zh-CN" w:bidi="ar-SA"/>
        </w:rPr>
        <w:t>件，申请发明专利</w:t>
      </w:r>
      <w:r>
        <w:rPr>
          <w:rFonts w:hint="eastAsia" w:ascii="仿宋_GB2312" w:hAnsi="仿宋_GB2312" w:eastAsia="仿宋_GB2312" w:cs="仿宋_GB2312"/>
          <w:spacing w:val="1"/>
          <w:kern w:val="2"/>
          <w:sz w:val="32"/>
          <w:szCs w:val="32"/>
          <w:lang w:val="en-US" w:eastAsia="zh-CN" w:bidi="ar-SA"/>
        </w:rPr>
        <w:t>3-5</w:t>
      </w:r>
      <w:r>
        <w:rPr>
          <w:rFonts w:hint="eastAsia" w:ascii="仿宋_GB2312" w:hAnsi="仿宋_GB2312" w:eastAsia="仿宋_GB2312" w:cs="仿宋_GB2312"/>
          <w:spacing w:val="1"/>
          <w:kern w:val="2"/>
          <w:sz w:val="32"/>
          <w:szCs w:val="32"/>
          <w:lang w:val="zh-CN" w:eastAsia="zh-CN" w:bidi="ar-SA"/>
        </w:rPr>
        <w:t>项，公开发表论文</w:t>
      </w:r>
      <w:r>
        <w:rPr>
          <w:rFonts w:hint="eastAsia" w:ascii="仿宋_GB2312" w:hAnsi="仿宋_GB2312" w:eastAsia="仿宋_GB2312" w:cs="仿宋_GB2312"/>
          <w:spacing w:val="1"/>
          <w:kern w:val="2"/>
          <w:sz w:val="32"/>
          <w:szCs w:val="32"/>
          <w:lang w:val="en-US" w:eastAsia="zh-CN" w:bidi="ar-SA"/>
        </w:rPr>
        <w:t>2—</w:t>
      </w:r>
      <w:r>
        <w:rPr>
          <w:rFonts w:hint="eastAsia" w:ascii="仿宋_GB2312" w:hAnsi="仿宋_GB2312" w:eastAsia="仿宋_GB2312" w:cs="仿宋_GB2312"/>
          <w:spacing w:val="1"/>
          <w:kern w:val="2"/>
          <w:sz w:val="32"/>
          <w:szCs w:val="32"/>
          <w:lang w:val="zh-CN" w:eastAsia="zh-CN" w:bidi="ar-SA"/>
        </w:rPr>
        <w:t>3篇，形成总结报告1篇。项目实施进度具体计划如下：</w:t>
      </w:r>
    </w:p>
    <w:p w14:paraId="6D67A821">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2022.04-2023.03</w:t>
      </w:r>
    </w:p>
    <w:p w14:paraId="105767C2">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1）项目需求调研阶段，首先达古冰川景区内部信息角度调研管理局信息化的局限性，并进行初步的模块化设计：接着从近年来达古冰川游客分布群体，游客驻留情况和偏好等角度进行需求分析，并完成功能模块设计。</w:t>
      </w:r>
    </w:p>
    <w:p w14:paraId="0CDE6855">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（2）项目构架和产品适应阶段，完成基于云计算平台的微服务构架，以及各子模块的设计，做到边研发边与需求方对接，确保平台构架成熟度。</w:t>
      </w:r>
    </w:p>
    <w:p w14:paraId="3535F887">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（3）项目开发和测试阶段，实现平台程序化实现和单元测试。</w:t>
      </w:r>
    </w:p>
    <w:p w14:paraId="41BE2169">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2023.04-2024.03</w:t>
      </w:r>
    </w:p>
    <w:p w14:paraId="30A25AB7">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（1）项目持续开发与测试，完成平台第一个版本开发功能，并部署云计算环境中。</w:t>
      </w:r>
    </w:p>
    <w:p w14:paraId="42AD4F03">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（2）成果形成阶段，实现平台研发过程所遇问题技术攻关；同时，对平台进行压力和性能测试。</w:t>
      </w:r>
    </w:p>
    <w:p w14:paraId="39441348">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（3）撰写发明专利阶段，向专利代理所提交本项目的发明专利申请，并确保在结题前完成提交申请。</w:t>
      </w:r>
    </w:p>
    <w:p w14:paraId="59D9FF61">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（4）形成1个应用报告。</w:t>
      </w:r>
    </w:p>
    <w:p w14:paraId="2B6A5003">
      <w:pPr>
        <w:keepNext w:val="0"/>
        <w:keepLines w:val="0"/>
        <w:pageBreakBefore w:val="0"/>
        <w:widowControl/>
        <w:shd w:val="clear" w:color="auto" w:fill="FFFFFF"/>
        <w:kinsoku/>
        <w:wordWrap/>
        <w:overflowPunct/>
        <w:topLinePunct w:val="0"/>
        <w:autoSpaceDE/>
        <w:autoSpaceDN/>
        <w:bidi w:val="0"/>
        <w:spacing w:line="440" w:lineRule="exact"/>
        <w:ind w:left="0" w:right="0" w:firstLine="644" w:firstLineChars="200"/>
        <w:textAlignment w:val="auto"/>
        <w:rPr>
          <w:rFonts w:hint="eastAsia" w:ascii="仿宋_GB2312" w:hAnsi="仿宋_GB2312" w:eastAsia="仿宋_GB2312" w:cs="仿宋_GB2312"/>
          <w:spacing w:val="1"/>
          <w:kern w:val="2"/>
          <w:sz w:val="32"/>
          <w:szCs w:val="32"/>
          <w:lang w:val="zh-CN" w:eastAsia="zh-CN" w:bidi="ar-SA"/>
        </w:rPr>
      </w:pPr>
      <w:r>
        <w:rPr>
          <w:rFonts w:hint="eastAsia" w:ascii="仿宋_GB2312" w:hAnsi="仿宋_GB2312" w:eastAsia="仿宋_GB2312" w:cs="仿宋_GB2312"/>
          <w:spacing w:val="1"/>
          <w:kern w:val="2"/>
          <w:sz w:val="32"/>
          <w:szCs w:val="32"/>
          <w:lang w:val="zh-CN" w:eastAsia="zh-CN" w:bidi="ar-SA"/>
        </w:rPr>
        <w:t>（5）整理材料，准备结题。</w:t>
      </w:r>
    </w:p>
    <w:p w14:paraId="0A2147A4">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i w:val="0"/>
          <w:iCs w:val="0"/>
          <w:caps w:val="0"/>
          <w:color w:val="333333"/>
          <w:spacing w:val="0"/>
          <w:sz w:val="32"/>
          <w:szCs w:val="32"/>
          <w:shd w:val="clear" w:fill="FFFFFF"/>
          <w:lang w:val="en-US" w:eastAsia="zh-CN"/>
        </w:rPr>
        <w:t>2.</w:t>
      </w:r>
      <w:r>
        <w:rPr>
          <w:rFonts w:hint="eastAsia" w:ascii="仿宋_GB2312" w:hAnsi="仿宋_GB2312" w:eastAsia="仿宋_GB2312" w:cs="仿宋_GB2312"/>
          <w:b/>
          <w:bCs/>
          <w:sz w:val="32"/>
          <w:szCs w:val="32"/>
          <w:lang w:val="en-US" w:eastAsia="zh-CN"/>
        </w:rPr>
        <w:t>项目自评工作开展情况</w:t>
      </w:r>
    </w:p>
    <w:p w14:paraId="21AF997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i w:val="0"/>
          <w:iCs w:val="0"/>
          <w:caps w:val="0"/>
          <w:color w:val="333333"/>
          <w:spacing w:val="0"/>
          <w:sz w:val="32"/>
          <w:szCs w:val="32"/>
          <w:shd w:val="clear" w:fill="FFFFFF"/>
          <w:lang w:val="en-US" w:eastAsia="zh-CN"/>
        </w:rPr>
        <w:t>管理局</w:t>
      </w:r>
      <w:r>
        <w:rPr>
          <w:rFonts w:hint="eastAsia" w:ascii="仿宋_GB2312" w:hAnsi="仿宋_GB2312" w:eastAsia="仿宋_GB2312" w:cs="仿宋_GB2312"/>
          <w:i w:val="0"/>
          <w:iCs w:val="0"/>
          <w:caps w:val="0"/>
          <w:color w:val="333333"/>
          <w:spacing w:val="0"/>
          <w:sz w:val="32"/>
          <w:szCs w:val="32"/>
          <w:shd w:val="clear" w:fill="FFFFFF"/>
        </w:rPr>
        <w:t>通过项目自评</w:t>
      </w:r>
      <w:r>
        <w:rPr>
          <w:rFonts w:hint="eastAsia" w:ascii="仿宋_GB2312" w:hAnsi="仿宋_GB2312" w:eastAsia="仿宋_GB2312" w:cs="仿宋_GB2312"/>
          <w:i w:val="0"/>
          <w:iCs w:val="0"/>
          <w:caps w:val="0"/>
          <w:color w:val="333333"/>
          <w:spacing w:val="0"/>
          <w:sz w:val="32"/>
          <w:szCs w:val="32"/>
          <w:shd w:val="clear" w:fill="FFFFFF"/>
          <w:lang w:val="en-US" w:eastAsia="zh-CN"/>
        </w:rPr>
        <w:t>的方式</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sz w:val="32"/>
          <w:szCs w:val="32"/>
          <w:lang w:val="en-US" w:eastAsia="zh-CN"/>
        </w:rPr>
        <w:t>认真研读和解析绩效管理文件的精神和要求，</w:t>
      </w:r>
      <w:r>
        <w:rPr>
          <w:rFonts w:hint="eastAsia" w:ascii="仿宋_GB2312" w:hAnsi="仿宋_GB2312" w:eastAsia="仿宋_GB2312" w:cs="仿宋_GB2312"/>
          <w:i w:val="0"/>
          <w:iCs w:val="0"/>
          <w:caps w:val="0"/>
          <w:color w:val="333333"/>
          <w:spacing w:val="0"/>
          <w:sz w:val="32"/>
          <w:szCs w:val="32"/>
          <w:shd w:val="clear" w:fill="FFFFFF"/>
        </w:rPr>
        <w:t>收集相关资料</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听取情况介绍</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定量和定性分析，形成报告。</w:t>
      </w:r>
      <w:r>
        <w:rPr>
          <w:rFonts w:hint="eastAsia" w:ascii="仿宋_GB2312" w:hAnsi="仿宋_GB2312" w:eastAsia="仿宋_GB2312" w:cs="仿宋_GB2312"/>
          <w:sz w:val="32"/>
          <w:szCs w:val="32"/>
          <w:lang w:val="en-US" w:eastAsia="zh-CN"/>
        </w:rPr>
        <w:t>对项目实施进度、质量、安全等进行有效监督，总结发现好的经验和做法，找出存在的不足和问题，提出改进措施，不断加强专项资金的管理，充分发挥专项资金的使用效益。</w:t>
      </w:r>
    </w:p>
    <w:p w14:paraId="0D34076F">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640" w:firstLineChars="200"/>
        <w:textAlignment w:val="auto"/>
        <w:outlineLvl w:val="9"/>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二、</w:t>
      </w:r>
      <w:r>
        <w:rPr>
          <w:rFonts w:hint="eastAsia" w:ascii="黑体" w:hAnsi="黑体" w:eastAsia="黑体" w:cs="黑体"/>
          <w:sz w:val="32"/>
          <w:szCs w:val="32"/>
          <w:highlight w:val="none"/>
          <w:lang w:eastAsia="zh-CN"/>
        </w:rPr>
        <w:t>评价实施</w:t>
      </w:r>
    </w:p>
    <w:p w14:paraId="4201DB5B">
      <w:pPr>
        <w:keepNext w:val="0"/>
        <w:keepLines w:val="0"/>
        <w:pageBreakBefore w:val="0"/>
        <w:widowControl w:val="0"/>
        <w:kinsoku/>
        <w:wordWrap/>
        <w:overflowPunct/>
        <w:topLinePunct w:val="0"/>
        <w:autoSpaceDE/>
        <w:autoSpaceDN/>
        <w:bidi w:val="0"/>
        <w:spacing w:line="440" w:lineRule="exact"/>
        <w:ind w:left="0" w:leftChars="0" w:right="0" w:firstLine="672" w:firstLineChars="200"/>
        <w:textAlignment w:val="auto"/>
        <w:outlineLvl w:val="9"/>
        <w:rPr>
          <w:rFonts w:hint="eastAsia" w:ascii="仿宋_GB2312" w:hAnsi="仿宋_GB2312" w:eastAsia="仿宋_GB2312" w:cs="仿宋_GB2312"/>
          <w:i w:val="0"/>
          <w:iCs w:val="0"/>
          <w:caps w:val="0"/>
          <w:spacing w:val="8"/>
          <w:sz w:val="32"/>
          <w:szCs w:val="32"/>
          <w:shd w:val="clear" w:fill="FFFFFF"/>
        </w:rPr>
      </w:pPr>
      <w:r>
        <w:rPr>
          <w:rFonts w:hint="eastAsia" w:ascii="仿宋_GB2312" w:hAnsi="仿宋_GB2312" w:eastAsia="仿宋_GB2312" w:cs="仿宋_GB2312"/>
          <w:i w:val="0"/>
          <w:iCs w:val="0"/>
          <w:caps w:val="0"/>
          <w:spacing w:val="8"/>
          <w:sz w:val="32"/>
          <w:szCs w:val="32"/>
          <w:shd w:val="clear" w:fill="FFFFFF"/>
        </w:rPr>
        <w:t>本次绩效评价的目的是提高支出效率，客观公正地核查项目资金预期目标实现程度，改进和加强财政专项资金管理，不断提高资金管理水平和使用效益。绩效评价</w:t>
      </w:r>
      <w:r>
        <w:rPr>
          <w:rFonts w:hint="eastAsia" w:ascii="仿宋_GB2312" w:hAnsi="仿宋_GB2312" w:eastAsia="仿宋_GB2312" w:cs="仿宋_GB2312"/>
          <w:i w:val="0"/>
          <w:iCs w:val="0"/>
          <w:caps w:val="0"/>
          <w:spacing w:val="8"/>
          <w:sz w:val="32"/>
          <w:szCs w:val="32"/>
          <w:shd w:val="clear" w:fill="FFFFFF"/>
          <w:lang w:eastAsia="zh-CN"/>
        </w:rPr>
        <w:t>工作</w:t>
      </w:r>
      <w:r>
        <w:rPr>
          <w:rFonts w:hint="eastAsia" w:ascii="仿宋_GB2312" w:hAnsi="仿宋_GB2312" w:eastAsia="仿宋_GB2312" w:cs="仿宋_GB2312"/>
          <w:i w:val="0"/>
          <w:iCs w:val="0"/>
          <w:caps w:val="0"/>
          <w:spacing w:val="8"/>
          <w:sz w:val="32"/>
          <w:szCs w:val="32"/>
          <w:shd w:val="clear" w:fill="FFFFFF"/>
        </w:rPr>
        <w:t>坚持社会效益原则、合规性原则、重要性原则</w:t>
      </w:r>
      <w:r>
        <w:rPr>
          <w:rFonts w:hint="eastAsia" w:ascii="仿宋_GB2312" w:hAnsi="仿宋_GB2312" w:eastAsia="仿宋_GB2312" w:cs="仿宋_GB2312"/>
          <w:i w:val="0"/>
          <w:iCs w:val="0"/>
          <w:caps w:val="0"/>
          <w:spacing w:val="8"/>
          <w:sz w:val="32"/>
          <w:szCs w:val="32"/>
          <w:shd w:val="clear" w:fill="FFFFFF"/>
          <w:lang w:eastAsia="zh-CN"/>
        </w:rPr>
        <w:t>，</w:t>
      </w:r>
      <w:r>
        <w:rPr>
          <w:rFonts w:hint="eastAsia" w:ascii="仿宋_GB2312" w:hAnsi="仿宋_GB2312" w:eastAsia="仿宋_GB2312" w:cs="仿宋_GB2312"/>
          <w:i w:val="0"/>
          <w:iCs w:val="0"/>
          <w:caps w:val="0"/>
          <w:spacing w:val="8"/>
          <w:sz w:val="32"/>
          <w:szCs w:val="32"/>
          <w:shd w:val="clear" w:fill="FFFFFF"/>
        </w:rPr>
        <w:t>具体实施步骤如下：</w:t>
      </w:r>
    </w:p>
    <w:p w14:paraId="44D0273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560"/>
        <w:jc w:val="both"/>
        <w:textAlignment w:val="auto"/>
        <w:rPr>
          <w:rFonts w:hint="eastAsia" w:ascii="仿宋_GB2312" w:hAnsi="仿宋_GB2312" w:eastAsia="仿宋_GB2312" w:cs="仿宋_GB2312"/>
          <w:b/>
          <w:bCs/>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w:t>
      </w:r>
      <w:r>
        <w:rPr>
          <w:rFonts w:hint="eastAsia" w:ascii="仿宋_GB2312" w:hAnsi="仿宋_GB2312" w:eastAsia="仿宋_GB2312" w:cs="仿宋_GB2312"/>
          <w:b/>
          <w:bCs/>
          <w:i w:val="0"/>
          <w:iCs w:val="0"/>
          <w:caps w:val="0"/>
          <w:color w:val="333333"/>
          <w:spacing w:val="0"/>
          <w:sz w:val="32"/>
          <w:szCs w:val="32"/>
          <w:shd w:val="clear" w:fill="FFFFFF"/>
        </w:rPr>
        <w:t>成立绩效评价工作小组</w:t>
      </w:r>
    </w:p>
    <w:p w14:paraId="70DF146C">
      <w:pPr>
        <w:keepNext w:val="0"/>
        <w:keepLines w:val="0"/>
        <w:pageBreakBefore w:val="0"/>
        <w:widowControl w:val="0"/>
        <w:kinsoku/>
        <w:wordWrap/>
        <w:overflowPunct/>
        <w:topLinePunct w:val="0"/>
        <w:autoSpaceDE/>
        <w:autoSpaceDN/>
        <w:bidi w:val="0"/>
        <w:spacing w:line="440" w:lineRule="exact"/>
        <w:ind w:left="0" w:leftChars="0" w:right="0" w:firstLine="672" w:firstLineChars="200"/>
        <w:textAlignment w:val="auto"/>
        <w:outlineLvl w:val="9"/>
        <w:rPr>
          <w:rFonts w:hint="eastAsia" w:ascii="仿宋_GB2312" w:hAnsi="仿宋_GB2312" w:eastAsia="仿宋_GB2312" w:cs="仿宋_GB2312"/>
          <w:i w:val="0"/>
          <w:iCs w:val="0"/>
          <w:caps w:val="0"/>
          <w:spacing w:val="8"/>
          <w:sz w:val="32"/>
          <w:szCs w:val="32"/>
          <w:shd w:val="clear" w:fill="FFFFFF"/>
        </w:rPr>
      </w:pPr>
      <w:r>
        <w:rPr>
          <w:rFonts w:hint="eastAsia" w:ascii="仿宋_GB2312" w:hAnsi="仿宋_GB2312" w:eastAsia="仿宋_GB2312" w:cs="仿宋_GB2312"/>
          <w:i w:val="0"/>
          <w:iCs w:val="0"/>
          <w:caps w:val="0"/>
          <w:spacing w:val="8"/>
          <w:sz w:val="32"/>
          <w:szCs w:val="32"/>
          <w:shd w:val="clear" w:fill="FFFFFF"/>
        </w:rPr>
        <w:t>为确保</w:t>
      </w:r>
      <w:r>
        <w:rPr>
          <w:rFonts w:hint="eastAsia" w:ascii="仿宋_GB2312" w:hAnsi="仿宋_GB2312" w:eastAsia="仿宋_GB2312" w:cs="仿宋_GB2312"/>
          <w:i w:val="0"/>
          <w:iCs w:val="0"/>
          <w:caps w:val="0"/>
          <w:spacing w:val="8"/>
          <w:sz w:val="32"/>
          <w:szCs w:val="32"/>
          <w:shd w:val="clear" w:fill="FFFFFF"/>
          <w:lang w:val="en-US" w:eastAsia="zh-CN"/>
        </w:rPr>
        <w:t>该项目资金分配使用严格按照程序执行，管理局</w:t>
      </w:r>
      <w:r>
        <w:rPr>
          <w:rFonts w:hint="eastAsia" w:ascii="仿宋_GB2312" w:hAnsi="仿宋_GB2312" w:eastAsia="仿宋_GB2312" w:cs="仿宋_GB2312"/>
          <w:i w:val="0"/>
          <w:iCs w:val="0"/>
          <w:caps w:val="0"/>
          <w:spacing w:val="8"/>
          <w:sz w:val="32"/>
          <w:szCs w:val="32"/>
          <w:shd w:val="clear" w:fill="FFFFFF"/>
        </w:rPr>
        <w:t>设立</w:t>
      </w:r>
      <w:r>
        <w:rPr>
          <w:rFonts w:hint="eastAsia" w:ascii="仿宋_GB2312" w:hAnsi="仿宋_GB2312" w:eastAsia="仿宋_GB2312" w:cs="仿宋_GB2312"/>
          <w:i w:val="0"/>
          <w:iCs w:val="0"/>
          <w:caps w:val="0"/>
          <w:spacing w:val="8"/>
          <w:sz w:val="32"/>
          <w:szCs w:val="32"/>
          <w:shd w:val="clear" w:fill="FFFFFF"/>
          <w:lang w:val="en-US" w:eastAsia="zh-CN"/>
        </w:rPr>
        <w:t>由分管科研项目领导任组长，各相关处室负责人为副组长，高级</w:t>
      </w:r>
      <w:r>
        <w:rPr>
          <w:rFonts w:hint="eastAsia" w:ascii="仿宋_GB2312" w:hAnsi="仿宋_GB2312" w:eastAsia="仿宋_GB2312" w:cs="仿宋_GB2312"/>
          <w:i w:val="0"/>
          <w:iCs w:val="0"/>
          <w:caps w:val="0"/>
          <w:spacing w:val="8"/>
          <w:sz w:val="32"/>
          <w:szCs w:val="32"/>
          <w:shd w:val="clear" w:fill="FFFFFF"/>
        </w:rPr>
        <w:t>会计师、经济师、统计师</w:t>
      </w:r>
      <w:r>
        <w:rPr>
          <w:rFonts w:hint="eastAsia" w:ascii="仿宋_GB2312" w:hAnsi="仿宋_GB2312" w:eastAsia="仿宋_GB2312" w:cs="仿宋_GB2312"/>
          <w:i w:val="0"/>
          <w:iCs w:val="0"/>
          <w:caps w:val="0"/>
          <w:spacing w:val="8"/>
          <w:sz w:val="32"/>
          <w:szCs w:val="32"/>
          <w:shd w:val="clear" w:fill="FFFFFF"/>
          <w:lang w:val="en-US" w:eastAsia="zh-CN"/>
        </w:rPr>
        <w:t>等为成员的专项预算项目绩效评价</w:t>
      </w:r>
      <w:r>
        <w:rPr>
          <w:rFonts w:hint="eastAsia" w:ascii="仿宋_GB2312" w:hAnsi="仿宋_GB2312" w:eastAsia="仿宋_GB2312" w:cs="仿宋_GB2312"/>
          <w:i w:val="0"/>
          <w:iCs w:val="0"/>
          <w:caps w:val="0"/>
          <w:spacing w:val="8"/>
          <w:sz w:val="32"/>
          <w:szCs w:val="32"/>
          <w:shd w:val="clear" w:fill="FFFFFF"/>
        </w:rPr>
        <w:t>工作领导小组</w:t>
      </w:r>
      <w:r>
        <w:rPr>
          <w:rFonts w:hint="eastAsia" w:ascii="仿宋_GB2312" w:hAnsi="仿宋_GB2312" w:eastAsia="仿宋_GB2312" w:cs="仿宋_GB2312"/>
          <w:i w:val="0"/>
          <w:iCs w:val="0"/>
          <w:caps w:val="0"/>
          <w:spacing w:val="8"/>
          <w:sz w:val="32"/>
          <w:szCs w:val="32"/>
          <w:shd w:val="clear" w:fill="FFFFFF"/>
          <w:lang w:eastAsia="zh-CN"/>
        </w:rPr>
        <w:t>，</w:t>
      </w:r>
      <w:r>
        <w:rPr>
          <w:rFonts w:hint="eastAsia" w:ascii="仿宋_GB2312" w:hAnsi="仿宋_GB2312" w:eastAsia="仿宋_GB2312" w:cs="仿宋_GB2312"/>
          <w:i w:val="0"/>
          <w:iCs w:val="0"/>
          <w:caps w:val="0"/>
          <w:spacing w:val="8"/>
          <w:sz w:val="32"/>
          <w:szCs w:val="32"/>
          <w:shd w:val="clear" w:fill="FFFFFF"/>
          <w:lang w:val="en-US" w:eastAsia="zh-CN"/>
        </w:rPr>
        <w:t>具体</w:t>
      </w:r>
      <w:r>
        <w:rPr>
          <w:rFonts w:hint="eastAsia" w:ascii="仿宋_GB2312" w:hAnsi="仿宋_GB2312" w:eastAsia="仿宋_GB2312" w:cs="仿宋_GB2312"/>
          <w:i w:val="0"/>
          <w:iCs w:val="0"/>
          <w:caps w:val="0"/>
          <w:spacing w:val="8"/>
          <w:sz w:val="32"/>
          <w:szCs w:val="32"/>
          <w:shd w:val="clear" w:fill="FFFFFF"/>
        </w:rPr>
        <w:t>负责</w:t>
      </w:r>
      <w:r>
        <w:rPr>
          <w:rFonts w:hint="eastAsia" w:ascii="仿宋_GB2312" w:hAnsi="仿宋_GB2312" w:eastAsia="仿宋_GB2312" w:cs="仿宋_GB2312"/>
          <w:i w:val="0"/>
          <w:iCs w:val="0"/>
          <w:caps w:val="0"/>
          <w:spacing w:val="8"/>
          <w:sz w:val="32"/>
          <w:szCs w:val="32"/>
          <w:shd w:val="clear" w:fill="FFFFFF"/>
          <w:lang w:val="en-US" w:eastAsia="zh-CN"/>
        </w:rPr>
        <w:t>项目</w:t>
      </w:r>
      <w:r>
        <w:rPr>
          <w:rFonts w:hint="eastAsia" w:ascii="仿宋_GB2312" w:hAnsi="仿宋_GB2312" w:eastAsia="仿宋_GB2312" w:cs="仿宋_GB2312"/>
          <w:i w:val="0"/>
          <w:iCs w:val="0"/>
          <w:caps w:val="0"/>
          <w:spacing w:val="8"/>
          <w:sz w:val="32"/>
          <w:szCs w:val="32"/>
          <w:shd w:val="clear" w:fill="FFFFFF"/>
        </w:rPr>
        <w:t>统筹协调和</w:t>
      </w:r>
      <w:r>
        <w:rPr>
          <w:rFonts w:hint="eastAsia" w:ascii="仿宋_GB2312" w:hAnsi="仿宋_GB2312" w:eastAsia="仿宋_GB2312" w:cs="仿宋_GB2312"/>
          <w:i w:val="0"/>
          <w:iCs w:val="0"/>
          <w:caps w:val="0"/>
          <w:spacing w:val="8"/>
          <w:sz w:val="32"/>
          <w:szCs w:val="32"/>
          <w:shd w:val="clear" w:fill="FFFFFF"/>
          <w:lang w:val="en-US" w:eastAsia="zh-CN"/>
        </w:rPr>
        <w:t>资金分配使用</w:t>
      </w:r>
      <w:r>
        <w:rPr>
          <w:rFonts w:hint="eastAsia" w:ascii="仿宋_GB2312" w:hAnsi="仿宋_GB2312" w:eastAsia="仿宋_GB2312" w:cs="仿宋_GB2312"/>
          <w:i w:val="0"/>
          <w:iCs w:val="0"/>
          <w:caps w:val="0"/>
          <w:spacing w:val="8"/>
          <w:sz w:val="32"/>
          <w:szCs w:val="32"/>
          <w:shd w:val="clear" w:fill="FFFFFF"/>
        </w:rPr>
        <w:t>工作。</w:t>
      </w:r>
    </w:p>
    <w:p w14:paraId="57D6AEF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560"/>
        <w:jc w:val="both"/>
        <w:textAlignment w:val="auto"/>
        <w:rPr>
          <w:rFonts w:hint="eastAsia" w:ascii="仿宋_GB2312" w:hAnsi="仿宋_GB2312" w:eastAsia="仿宋_GB2312" w:cs="仿宋_GB2312"/>
          <w:b/>
          <w:bCs/>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2.</w:t>
      </w:r>
      <w:r>
        <w:rPr>
          <w:rFonts w:hint="eastAsia" w:ascii="仿宋_GB2312" w:hAnsi="仿宋_GB2312" w:eastAsia="仿宋_GB2312" w:cs="仿宋_GB2312"/>
          <w:b/>
          <w:bCs/>
          <w:i w:val="0"/>
          <w:iCs w:val="0"/>
          <w:caps w:val="0"/>
          <w:color w:val="333333"/>
          <w:spacing w:val="0"/>
          <w:sz w:val="32"/>
          <w:szCs w:val="32"/>
          <w:shd w:val="clear" w:fill="FFFFFF"/>
        </w:rPr>
        <w:t>对自评材料进行全面评审</w:t>
      </w:r>
    </w:p>
    <w:p w14:paraId="7BF994DA">
      <w:pPr>
        <w:keepNext w:val="0"/>
        <w:keepLines w:val="0"/>
        <w:pageBreakBefore w:val="0"/>
        <w:widowControl w:val="0"/>
        <w:kinsoku/>
        <w:wordWrap/>
        <w:overflowPunct/>
        <w:topLinePunct w:val="0"/>
        <w:autoSpaceDE/>
        <w:autoSpaceDN/>
        <w:bidi w:val="0"/>
        <w:spacing w:line="440" w:lineRule="exact"/>
        <w:ind w:left="0" w:leftChars="0" w:right="0" w:firstLine="672" w:firstLineChars="200"/>
        <w:textAlignment w:val="auto"/>
        <w:outlineLvl w:val="9"/>
        <w:rPr>
          <w:rFonts w:hint="eastAsia" w:ascii="仿宋_GB2312" w:hAnsi="仿宋_GB2312" w:eastAsia="仿宋_GB2312" w:cs="仿宋_GB2312"/>
          <w:i w:val="0"/>
          <w:iCs w:val="0"/>
          <w:caps w:val="0"/>
          <w:spacing w:val="8"/>
          <w:sz w:val="32"/>
          <w:szCs w:val="32"/>
          <w:shd w:val="clear" w:fill="FFFFFF"/>
        </w:rPr>
      </w:pPr>
      <w:r>
        <w:rPr>
          <w:rFonts w:hint="eastAsia" w:ascii="仿宋_GB2312" w:hAnsi="仿宋_GB2312" w:eastAsia="仿宋_GB2312" w:cs="仿宋_GB2312"/>
          <w:i w:val="0"/>
          <w:iCs w:val="0"/>
          <w:caps w:val="0"/>
          <w:spacing w:val="8"/>
          <w:sz w:val="32"/>
          <w:szCs w:val="32"/>
          <w:shd w:val="clear" w:fill="FFFFFF"/>
        </w:rPr>
        <w:t>绩效评价小组成员对项目的</w:t>
      </w:r>
      <w:r>
        <w:rPr>
          <w:rFonts w:hint="eastAsia" w:ascii="仿宋_GB2312" w:hAnsi="仿宋_GB2312" w:eastAsia="仿宋_GB2312" w:cs="仿宋_GB2312"/>
          <w:i w:val="0"/>
          <w:iCs w:val="0"/>
          <w:caps w:val="0"/>
          <w:spacing w:val="8"/>
          <w:sz w:val="32"/>
          <w:szCs w:val="32"/>
          <w:shd w:val="clear" w:fill="FFFFFF"/>
          <w:lang w:val="en-US" w:eastAsia="zh-CN"/>
        </w:rPr>
        <w:t>方案、报价单、相关资质、</w:t>
      </w:r>
      <w:r>
        <w:rPr>
          <w:rFonts w:hint="eastAsia" w:ascii="仿宋_GB2312" w:hAnsi="仿宋_GB2312" w:eastAsia="仿宋_GB2312" w:cs="仿宋_GB2312"/>
          <w:i w:val="0"/>
          <w:iCs w:val="0"/>
          <w:caps w:val="0"/>
          <w:spacing w:val="8"/>
          <w:sz w:val="32"/>
          <w:szCs w:val="32"/>
          <w:shd w:val="clear" w:fill="FFFFFF"/>
        </w:rPr>
        <w:t>合同、</w:t>
      </w:r>
      <w:r>
        <w:rPr>
          <w:rFonts w:hint="eastAsia" w:ascii="仿宋_GB2312" w:hAnsi="仿宋_GB2312" w:eastAsia="仿宋_GB2312" w:cs="仿宋_GB2312"/>
          <w:i w:val="0"/>
          <w:iCs w:val="0"/>
          <w:caps w:val="0"/>
          <w:spacing w:val="8"/>
          <w:sz w:val="32"/>
          <w:szCs w:val="32"/>
          <w:shd w:val="clear" w:fill="FFFFFF"/>
          <w:lang w:val="en-US" w:eastAsia="zh-CN"/>
        </w:rPr>
        <w:t>资金使用情况、项目</w:t>
      </w:r>
      <w:r>
        <w:rPr>
          <w:rFonts w:hint="eastAsia" w:ascii="仿宋_GB2312" w:hAnsi="仿宋_GB2312" w:eastAsia="仿宋_GB2312" w:cs="仿宋_GB2312"/>
          <w:i w:val="0"/>
          <w:iCs w:val="0"/>
          <w:caps w:val="0"/>
          <w:spacing w:val="8"/>
          <w:sz w:val="32"/>
          <w:szCs w:val="32"/>
          <w:shd w:val="clear" w:fill="FFFFFF"/>
        </w:rPr>
        <w:t>支付凭证等自评材料进行真实性、完整性评审，为开展现场核查与综合评价提供参考。</w:t>
      </w:r>
    </w:p>
    <w:p w14:paraId="6269FA77">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rightChars="0" w:firstLine="643" w:firstLineChars="20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3.评价方法</w:t>
      </w:r>
    </w:p>
    <w:p w14:paraId="1D01A2AD">
      <w:pPr>
        <w:keepNext w:val="0"/>
        <w:keepLines w:val="0"/>
        <w:pageBreakBefore w:val="0"/>
        <w:widowControl w:val="0"/>
        <w:kinsoku/>
        <w:wordWrap/>
        <w:overflowPunct/>
        <w:topLinePunct w:val="0"/>
        <w:autoSpaceDE/>
        <w:autoSpaceDN/>
        <w:bidi w:val="0"/>
        <w:spacing w:line="440" w:lineRule="exact"/>
        <w:ind w:left="0" w:leftChars="0" w:right="0" w:firstLine="672" w:firstLineChars="200"/>
        <w:textAlignment w:val="auto"/>
        <w:outlineLvl w:val="9"/>
        <w:rPr>
          <w:rFonts w:hint="eastAsia" w:ascii="仿宋_GB2312" w:hAnsi="仿宋_GB2312" w:eastAsia="仿宋_GB2312" w:cs="仿宋_GB2312"/>
          <w:i w:val="0"/>
          <w:iCs w:val="0"/>
          <w:caps w:val="0"/>
          <w:spacing w:val="8"/>
          <w:sz w:val="32"/>
          <w:szCs w:val="32"/>
          <w:shd w:val="clear" w:fill="FFFFFF"/>
          <w:lang w:eastAsia="zh-CN"/>
        </w:rPr>
      </w:pPr>
      <w:r>
        <w:rPr>
          <w:rFonts w:hint="eastAsia" w:ascii="仿宋_GB2312" w:hAnsi="仿宋_GB2312" w:eastAsia="仿宋_GB2312" w:cs="仿宋_GB2312"/>
          <w:i w:val="0"/>
          <w:iCs w:val="0"/>
          <w:caps w:val="0"/>
          <w:spacing w:val="8"/>
          <w:sz w:val="32"/>
          <w:szCs w:val="32"/>
          <w:shd w:val="clear" w:fill="FFFFFF"/>
          <w:lang w:val="en-US" w:eastAsia="zh-CN"/>
        </w:rPr>
        <w:t>管理局</w:t>
      </w:r>
      <w:r>
        <w:rPr>
          <w:rFonts w:hint="eastAsia" w:ascii="仿宋_GB2312" w:hAnsi="仿宋_GB2312" w:eastAsia="仿宋_GB2312" w:cs="仿宋_GB2312"/>
          <w:i w:val="0"/>
          <w:iCs w:val="0"/>
          <w:caps w:val="0"/>
          <w:spacing w:val="8"/>
          <w:sz w:val="32"/>
          <w:szCs w:val="32"/>
          <w:shd w:val="clear" w:fill="FFFFFF"/>
        </w:rPr>
        <w:t>绩效评价工作小组</w:t>
      </w:r>
      <w:r>
        <w:rPr>
          <w:rFonts w:hint="eastAsia" w:ascii="仿宋_GB2312" w:hAnsi="仿宋_GB2312" w:eastAsia="仿宋_GB2312" w:cs="仿宋_GB2312"/>
          <w:i w:val="0"/>
          <w:iCs w:val="0"/>
          <w:caps w:val="0"/>
          <w:spacing w:val="8"/>
          <w:sz w:val="32"/>
          <w:szCs w:val="32"/>
          <w:shd w:val="clear" w:fill="FFFFFF"/>
          <w:lang w:val="en-US" w:eastAsia="zh-CN"/>
        </w:rPr>
        <w:t>对该项目开展单位自评法</w:t>
      </w:r>
      <w:r>
        <w:rPr>
          <w:rFonts w:hint="eastAsia" w:ascii="仿宋_GB2312" w:hAnsi="仿宋_GB2312" w:eastAsia="仿宋_GB2312" w:cs="仿宋_GB2312"/>
          <w:i w:val="0"/>
          <w:iCs w:val="0"/>
          <w:caps w:val="0"/>
          <w:spacing w:val="8"/>
          <w:sz w:val="32"/>
          <w:szCs w:val="32"/>
          <w:shd w:val="clear" w:fill="FFFFFF"/>
        </w:rPr>
        <w:t>现场评价。现场评价中了解项目单位的基本情况，核查财政资金使用和管理、财务账目等情况。</w:t>
      </w:r>
    </w:p>
    <w:p w14:paraId="4E593BD4">
      <w:pPr>
        <w:keepNext w:val="0"/>
        <w:keepLines w:val="0"/>
        <w:pageBreakBefore w:val="0"/>
        <w:kinsoku/>
        <w:wordWrap/>
        <w:overflowPunct/>
        <w:topLinePunct w:val="0"/>
        <w:autoSpaceDE/>
        <w:autoSpaceDN/>
        <w:bidi w:val="0"/>
        <w:adjustRightInd w:val="0"/>
        <w:snapToGrid w:val="0"/>
        <w:spacing w:line="440" w:lineRule="exact"/>
        <w:ind w:left="0" w:leftChars="0" w:right="0" w:firstLine="640" w:firstLineChars="200"/>
        <w:textAlignment w:val="auto"/>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rPr>
        <w:t>三、</w:t>
      </w:r>
      <w:r>
        <w:rPr>
          <w:rFonts w:hint="eastAsia" w:ascii="黑体" w:hAnsi="黑体" w:eastAsia="黑体" w:cs="黑体"/>
          <w:color w:val="auto"/>
          <w:sz w:val="32"/>
          <w:szCs w:val="32"/>
          <w:highlight w:val="none"/>
          <w:u w:val="none"/>
          <w:lang w:eastAsia="zh-CN"/>
        </w:rPr>
        <w:t>绩效分析</w:t>
      </w:r>
      <w:r>
        <w:rPr>
          <w:rFonts w:hint="eastAsia" w:ascii="黑体" w:hAnsi="黑体" w:eastAsia="黑体" w:cs="黑体"/>
          <w:color w:val="auto"/>
          <w:sz w:val="32"/>
          <w:szCs w:val="32"/>
          <w:highlight w:val="none"/>
          <w:u w:val="none"/>
          <w:lang w:val="zh-CN"/>
        </w:rPr>
        <w:tab/>
      </w:r>
    </w:p>
    <w:p w14:paraId="76D2C859">
      <w:pPr>
        <w:keepNext w:val="0"/>
        <w:keepLines w:val="0"/>
        <w:pageBreakBefore w:val="0"/>
        <w:widowControl w:val="0"/>
        <w:kinsoku/>
        <w:wordWrap/>
        <w:overflowPunct/>
        <w:topLinePunct w:val="0"/>
        <w:autoSpaceDE/>
        <w:autoSpaceDN/>
        <w:bidi w:val="0"/>
        <w:spacing w:line="440" w:lineRule="exact"/>
        <w:ind w:left="0" w:leftChars="0" w:right="0"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管理局</w:t>
      </w:r>
      <w:r>
        <w:rPr>
          <w:rFonts w:hint="eastAsia" w:ascii="仿宋_GB2312" w:hAnsi="仿宋_GB2312" w:eastAsia="仿宋_GB2312" w:cs="仿宋_GB2312"/>
          <w:i w:val="0"/>
          <w:iCs w:val="0"/>
          <w:caps w:val="0"/>
          <w:spacing w:val="8"/>
          <w:sz w:val="32"/>
          <w:szCs w:val="32"/>
          <w:shd w:val="clear" w:fill="FFFFFF"/>
        </w:rPr>
        <w:t>为确保绩效评价工作落到实处，取得成效，认真组织开展绩效评价，</w:t>
      </w:r>
      <w:r>
        <w:rPr>
          <w:rFonts w:hint="eastAsia" w:ascii="仿宋_GB2312" w:hAnsi="仿宋_GB2312" w:eastAsia="仿宋_GB2312" w:cs="仿宋_GB2312"/>
          <w:sz w:val="32"/>
          <w:szCs w:val="32"/>
          <w:lang w:val="zh-CN" w:eastAsia="zh-CN"/>
        </w:rPr>
        <w:t>根据项目预算绩效评价指标</w:t>
      </w:r>
      <w:r>
        <w:rPr>
          <w:rFonts w:hint="eastAsia" w:ascii="仿宋_GB2312" w:hAnsi="仿宋_GB2312" w:eastAsia="仿宋_GB2312" w:cs="仿宋_GB2312"/>
          <w:sz w:val="32"/>
          <w:szCs w:val="32"/>
          <w:lang w:val="en-US" w:eastAsia="zh-CN"/>
        </w:rPr>
        <w:t>进行了自评，具体分析评分如下：</w:t>
      </w:r>
    </w:p>
    <w:p w14:paraId="3B79CB0C">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1.预算执行情况</w:t>
      </w:r>
      <w:r>
        <w:rPr>
          <w:rFonts w:hint="eastAsia" w:ascii="仿宋_GB2312" w:hAnsi="仿宋_GB2312" w:eastAsia="仿宋_GB2312" w:cs="仿宋_GB2312"/>
          <w:b w:val="0"/>
          <w:bCs w:val="0"/>
          <w:color w:val="auto"/>
          <w:sz w:val="32"/>
          <w:szCs w:val="32"/>
          <w:lang w:val="en-US" w:eastAsia="zh-CN"/>
        </w:rPr>
        <w:t>：该项</w:t>
      </w:r>
      <w:r>
        <w:rPr>
          <w:rFonts w:hint="eastAsia" w:ascii="仿宋_GB2312" w:hAnsi="仿宋_GB2312" w:eastAsia="仿宋_GB2312" w:cs="仿宋_GB2312"/>
          <w:spacing w:val="1"/>
          <w:kern w:val="2"/>
          <w:sz w:val="32"/>
          <w:szCs w:val="32"/>
          <w:lang w:val="en-US" w:eastAsia="zh-CN" w:bidi="ar-SA"/>
        </w:rPr>
        <w:t>目严格按照《阿坝州科技计划项目管理办法》《阿坝州科技计划项目经费管理办法》使用资金。自评分：10分。</w:t>
      </w:r>
    </w:p>
    <w:p w14:paraId="423E6E04">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2.研究论文</w:t>
      </w:r>
      <w:r>
        <w:rPr>
          <w:rFonts w:hint="eastAsia" w:ascii="仿宋_GB2312" w:hAnsi="仿宋_GB2312" w:cs="仿宋_GB2312"/>
          <w:b/>
          <w:bCs/>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该项目</w:t>
      </w:r>
      <w:r>
        <w:rPr>
          <w:rFonts w:hint="eastAsia" w:ascii="仿宋_GB2312" w:hAnsi="仿宋_GB2312" w:cs="仿宋_GB2312"/>
          <w:b w:val="0"/>
          <w:bCs w:val="0"/>
          <w:color w:val="auto"/>
          <w:sz w:val="32"/>
          <w:szCs w:val="32"/>
          <w:lang w:val="en-US" w:eastAsia="zh-CN"/>
        </w:rPr>
        <w:t>发表了研究论文2篇。</w:t>
      </w:r>
      <w:r>
        <w:rPr>
          <w:rFonts w:hint="eastAsia" w:ascii="仿宋_GB2312" w:hAnsi="仿宋_GB2312" w:eastAsia="仿宋_GB2312" w:cs="仿宋_GB2312"/>
          <w:b w:val="0"/>
          <w:bCs w:val="0"/>
          <w:color w:val="auto"/>
          <w:sz w:val="32"/>
          <w:szCs w:val="32"/>
          <w:lang w:val="en-US" w:eastAsia="zh-CN"/>
        </w:rPr>
        <w:t>自评分：1</w:t>
      </w:r>
      <w:r>
        <w:rPr>
          <w:rFonts w:hint="eastAsia" w:ascii="仿宋_GB2312" w:hAnsi="仿宋_GB2312" w:cs="仿宋_GB2312"/>
          <w:b w:val="0"/>
          <w:bCs w:val="0"/>
          <w:color w:val="auto"/>
          <w:sz w:val="32"/>
          <w:szCs w:val="32"/>
          <w:lang w:val="en-US" w:eastAsia="zh-CN"/>
        </w:rPr>
        <w:t>0</w:t>
      </w:r>
      <w:r>
        <w:rPr>
          <w:rFonts w:hint="eastAsia" w:ascii="仿宋_GB2312" w:hAnsi="仿宋_GB2312" w:eastAsia="仿宋_GB2312" w:cs="仿宋_GB2312"/>
          <w:b w:val="0"/>
          <w:bCs w:val="0"/>
          <w:color w:val="auto"/>
          <w:sz w:val="32"/>
          <w:szCs w:val="32"/>
          <w:lang w:val="en-US" w:eastAsia="zh-CN"/>
        </w:rPr>
        <w:t>分。</w:t>
      </w:r>
    </w:p>
    <w:p w14:paraId="02C989B1">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spacing w:val="1"/>
          <w:kern w:val="2"/>
          <w:sz w:val="32"/>
          <w:szCs w:val="32"/>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3.</w:t>
      </w:r>
      <w:r>
        <w:rPr>
          <w:rFonts w:hint="eastAsia" w:ascii="仿宋_GB2312" w:hAnsi="仿宋_GB2312" w:eastAsia="仿宋_GB2312" w:cs="仿宋_GB2312"/>
          <w:b/>
          <w:bCs/>
          <w:color w:val="auto"/>
          <w:kern w:val="0"/>
          <w:position w:val="3"/>
          <w:sz w:val="32"/>
          <w:szCs w:val="32"/>
          <w:highlight w:val="none"/>
          <w:u w:val="none"/>
          <w:lang w:val="en-US" w:eastAsia="en-US" w:bidi="ar-SA"/>
        </w:rPr>
        <w:t>智慧旅游服务平台</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spacing w:val="1"/>
          <w:kern w:val="2"/>
          <w:sz w:val="32"/>
          <w:szCs w:val="32"/>
          <w:lang w:val="zh-CN" w:eastAsia="zh-CN" w:bidi="ar-SA"/>
        </w:rPr>
        <w:t>研制了基于云计算微服务的达古冰川智慧旅游服务基础平台</w:t>
      </w:r>
      <w:r>
        <w:rPr>
          <w:rFonts w:hint="eastAsia" w:ascii="仿宋_GB2312" w:hAnsi="仿宋_GB2312" w:eastAsia="仿宋_GB2312" w:cs="仿宋_GB2312"/>
          <w:spacing w:val="1"/>
          <w:kern w:val="2"/>
          <w:sz w:val="32"/>
          <w:szCs w:val="32"/>
          <w:lang w:val="en-US" w:eastAsia="zh-CN" w:bidi="ar-SA"/>
        </w:rPr>
        <w:t>1套。自评分：20分。</w:t>
      </w:r>
    </w:p>
    <w:p w14:paraId="1625C3EE">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kern w:val="0"/>
          <w:position w:val="3"/>
          <w:sz w:val="32"/>
          <w:szCs w:val="32"/>
          <w:highlight w:val="none"/>
          <w:u w:val="none"/>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4.</w:t>
      </w:r>
      <w:r>
        <w:rPr>
          <w:rFonts w:hint="eastAsia" w:ascii="仿宋_GB2312" w:hAnsi="仿宋_GB2312" w:eastAsia="仿宋_GB2312" w:cs="仿宋_GB2312"/>
          <w:b/>
          <w:bCs/>
          <w:color w:val="auto"/>
          <w:kern w:val="0"/>
          <w:position w:val="3"/>
          <w:sz w:val="32"/>
          <w:szCs w:val="32"/>
          <w:highlight w:val="none"/>
          <w:u w:val="none"/>
          <w:lang w:val="en-US" w:eastAsia="en-US" w:bidi="ar-SA"/>
        </w:rPr>
        <w:t>发明专利</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该</w:t>
      </w:r>
      <w:r>
        <w:rPr>
          <w:rFonts w:hint="eastAsia" w:ascii="仿宋_GB2312" w:hAnsi="仿宋_GB2312" w:eastAsia="仿宋_GB2312" w:cs="仿宋_GB2312"/>
          <w:spacing w:val="1"/>
          <w:kern w:val="2"/>
          <w:sz w:val="32"/>
          <w:szCs w:val="32"/>
          <w:lang w:val="en-US" w:eastAsia="zh-CN" w:bidi="ar-SA"/>
        </w:rPr>
        <w:t>项目</w:t>
      </w:r>
      <w:r>
        <w:rPr>
          <w:rFonts w:hint="eastAsia" w:ascii="仿宋_GB2312" w:hAnsi="仿宋_GB2312" w:eastAsia="仿宋_GB2312" w:cs="仿宋_GB2312"/>
          <w:spacing w:val="1"/>
          <w:kern w:val="2"/>
          <w:sz w:val="32"/>
          <w:szCs w:val="32"/>
          <w:lang w:val="zh-CN" w:eastAsia="zh-CN" w:bidi="ar-SA"/>
        </w:rPr>
        <w:t>申请发明专利3项。</w:t>
      </w:r>
      <w:r>
        <w:rPr>
          <w:rFonts w:hint="eastAsia" w:ascii="仿宋_GB2312" w:hAnsi="仿宋_GB2312" w:eastAsia="仿宋_GB2312" w:cs="仿宋_GB2312"/>
          <w:spacing w:val="1"/>
          <w:kern w:val="2"/>
          <w:sz w:val="32"/>
          <w:szCs w:val="32"/>
          <w:lang w:val="en-US" w:eastAsia="zh-CN" w:bidi="ar-SA"/>
        </w:rPr>
        <w:t>自评分：10分</w:t>
      </w:r>
      <w:r>
        <w:rPr>
          <w:rFonts w:hint="eastAsia" w:ascii="仿宋_GB2312" w:hAnsi="仿宋_GB2312" w:eastAsia="仿宋_GB2312" w:cs="仿宋_GB2312"/>
          <w:b w:val="0"/>
          <w:bCs w:val="0"/>
          <w:color w:val="auto"/>
          <w:sz w:val="32"/>
          <w:szCs w:val="32"/>
          <w:lang w:val="en-US" w:eastAsia="zh-CN"/>
        </w:rPr>
        <w:t>。</w:t>
      </w:r>
    </w:p>
    <w:p w14:paraId="26CC1F07">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kern w:val="0"/>
          <w:position w:val="3"/>
          <w:sz w:val="32"/>
          <w:szCs w:val="32"/>
          <w:highlight w:val="none"/>
          <w:u w:val="none"/>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5.</w:t>
      </w:r>
      <w:r>
        <w:rPr>
          <w:rFonts w:hint="eastAsia" w:ascii="仿宋_GB2312" w:hAnsi="仿宋_GB2312" w:eastAsia="仿宋_GB2312" w:cs="仿宋_GB2312"/>
          <w:b/>
          <w:bCs/>
          <w:color w:val="auto"/>
          <w:kern w:val="0"/>
          <w:position w:val="3"/>
          <w:sz w:val="32"/>
          <w:szCs w:val="32"/>
          <w:highlight w:val="none"/>
          <w:u w:val="none"/>
          <w:lang w:val="en-US" w:eastAsia="en-US" w:bidi="ar-SA"/>
        </w:rPr>
        <w:t>景区智慧化管理水平</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自评分：</w:t>
      </w:r>
      <w:r>
        <w:rPr>
          <w:rFonts w:hint="eastAsia" w:ascii="仿宋_GB2312" w:hAnsi="仿宋_GB2312" w:cs="仿宋_GB2312"/>
          <w:b w:val="0"/>
          <w:bCs w:val="0"/>
          <w:color w:val="auto"/>
          <w:sz w:val="32"/>
          <w:szCs w:val="32"/>
          <w:lang w:val="en-US" w:eastAsia="zh-CN"/>
        </w:rPr>
        <w:t>20</w:t>
      </w:r>
      <w:r>
        <w:rPr>
          <w:rFonts w:hint="eastAsia" w:ascii="仿宋_GB2312" w:hAnsi="仿宋_GB2312" w:eastAsia="仿宋_GB2312" w:cs="仿宋_GB2312"/>
          <w:b w:val="0"/>
          <w:bCs w:val="0"/>
          <w:color w:val="auto"/>
          <w:sz w:val="32"/>
          <w:szCs w:val="32"/>
          <w:lang w:val="en-US" w:eastAsia="zh-CN"/>
        </w:rPr>
        <w:t>分。</w:t>
      </w:r>
    </w:p>
    <w:p w14:paraId="4A96FA49">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cs="仿宋_GB2312"/>
          <w:b/>
          <w:bCs/>
          <w:color w:val="auto"/>
          <w:kern w:val="0"/>
          <w:position w:val="3"/>
          <w:sz w:val="32"/>
          <w:szCs w:val="32"/>
          <w:highlight w:val="none"/>
          <w:u w:val="none"/>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6.</w:t>
      </w:r>
      <w:r>
        <w:rPr>
          <w:rFonts w:hint="eastAsia" w:ascii="仿宋_GB2312" w:hAnsi="仿宋_GB2312" w:eastAsia="仿宋_GB2312" w:cs="仿宋_GB2312"/>
          <w:b/>
          <w:bCs/>
          <w:color w:val="auto"/>
          <w:kern w:val="0"/>
          <w:position w:val="3"/>
          <w:sz w:val="32"/>
          <w:szCs w:val="32"/>
          <w:highlight w:val="none"/>
          <w:u w:val="none"/>
          <w:lang w:val="en-US" w:eastAsia="en-US" w:bidi="ar-SA"/>
        </w:rPr>
        <w:t>景区科技支撑能力</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自评分：</w:t>
      </w:r>
      <w:r>
        <w:rPr>
          <w:rFonts w:hint="eastAsia" w:ascii="仿宋_GB2312" w:hAnsi="仿宋_GB2312" w:cs="仿宋_GB2312"/>
          <w:b w:val="0"/>
          <w:bCs w:val="0"/>
          <w:color w:val="auto"/>
          <w:sz w:val="32"/>
          <w:szCs w:val="32"/>
          <w:lang w:val="en-US" w:eastAsia="zh-CN"/>
        </w:rPr>
        <w:t>20</w:t>
      </w:r>
      <w:r>
        <w:rPr>
          <w:rFonts w:hint="eastAsia" w:ascii="仿宋_GB2312" w:hAnsi="仿宋_GB2312" w:eastAsia="仿宋_GB2312" w:cs="仿宋_GB2312"/>
          <w:b w:val="0"/>
          <w:bCs w:val="0"/>
          <w:color w:val="auto"/>
          <w:sz w:val="32"/>
          <w:szCs w:val="32"/>
          <w:lang w:val="en-US" w:eastAsia="zh-CN"/>
        </w:rPr>
        <w:t>分。</w:t>
      </w:r>
    </w:p>
    <w:p w14:paraId="1AF18931">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kern w:val="0"/>
          <w:position w:val="3"/>
          <w:sz w:val="32"/>
          <w:szCs w:val="32"/>
          <w:highlight w:val="none"/>
          <w:u w:val="none"/>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7.</w:t>
      </w:r>
      <w:r>
        <w:rPr>
          <w:rFonts w:hint="eastAsia" w:ascii="仿宋_GB2312" w:hAnsi="仿宋_GB2312" w:eastAsia="仿宋_GB2312" w:cs="仿宋_GB2312"/>
          <w:b/>
          <w:bCs/>
          <w:color w:val="auto"/>
          <w:kern w:val="0"/>
          <w:position w:val="3"/>
          <w:sz w:val="32"/>
          <w:szCs w:val="32"/>
          <w:highlight w:val="none"/>
          <w:u w:val="none"/>
          <w:lang w:val="en-US" w:eastAsia="en-US" w:bidi="ar-SA"/>
        </w:rPr>
        <w:t>游客旅游体验满意度</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自评分：</w:t>
      </w:r>
      <w:r>
        <w:rPr>
          <w:rFonts w:hint="eastAsia" w:ascii="仿宋_GB2312" w:hAnsi="仿宋_GB2312" w:cs="仿宋_GB2312"/>
          <w:b w:val="0"/>
          <w:bCs w:val="0"/>
          <w:color w:val="auto"/>
          <w:sz w:val="32"/>
          <w:szCs w:val="32"/>
          <w:lang w:val="en-US" w:eastAsia="zh-CN"/>
        </w:rPr>
        <w:t>10</w:t>
      </w:r>
      <w:r>
        <w:rPr>
          <w:rFonts w:hint="eastAsia" w:ascii="仿宋_GB2312" w:hAnsi="仿宋_GB2312" w:eastAsia="仿宋_GB2312" w:cs="仿宋_GB2312"/>
          <w:b w:val="0"/>
          <w:bCs w:val="0"/>
          <w:color w:val="auto"/>
          <w:sz w:val="32"/>
          <w:szCs w:val="32"/>
          <w:lang w:val="en-US" w:eastAsia="zh-CN"/>
        </w:rPr>
        <w:t>分。</w:t>
      </w:r>
    </w:p>
    <w:p w14:paraId="1684672B">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0" w:firstLineChars="200"/>
        <w:jc w:val="left"/>
        <w:textAlignment w:val="auto"/>
        <w:rPr>
          <w:rFonts w:hint="eastAsia" w:ascii="黑体" w:hAnsi="黑体" w:eastAsia="黑体" w:cs="黑体"/>
          <w:color w:val="auto"/>
          <w:kern w:val="0"/>
          <w:position w:val="3"/>
          <w:sz w:val="32"/>
          <w:szCs w:val="32"/>
          <w:highlight w:val="none"/>
          <w:u w:val="none"/>
          <w:lang w:val="en-US" w:eastAsia="en-US" w:bidi="ar-SA"/>
        </w:rPr>
      </w:pPr>
      <w:r>
        <w:rPr>
          <w:rFonts w:hint="eastAsia" w:ascii="黑体" w:hAnsi="黑体" w:eastAsia="黑体" w:cs="黑体"/>
          <w:color w:val="auto"/>
          <w:kern w:val="0"/>
          <w:position w:val="3"/>
          <w:sz w:val="32"/>
          <w:szCs w:val="32"/>
          <w:highlight w:val="none"/>
          <w:u w:val="none"/>
          <w:lang w:val="en-US" w:eastAsia="zh-CN" w:bidi="ar-SA"/>
        </w:rPr>
        <w:t>四</w:t>
      </w:r>
      <w:r>
        <w:rPr>
          <w:rFonts w:hint="eastAsia" w:ascii="黑体" w:hAnsi="黑体" w:eastAsia="黑体" w:cs="黑体"/>
          <w:color w:val="auto"/>
          <w:kern w:val="0"/>
          <w:position w:val="3"/>
          <w:sz w:val="32"/>
          <w:szCs w:val="32"/>
          <w:highlight w:val="none"/>
          <w:u w:val="none"/>
          <w:lang w:val="en-US" w:eastAsia="en-US" w:bidi="ar-SA"/>
        </w:rPr>
        <w:t>、评价结论</w:t>
      </w:r>
    </w:p>
    <w:p w14:paraId="56C069D3">
      <w:pPr>
        <w:keepNext w:val="0"/>
        <w:keepLines w:val="0"/>
        <w:pageBreakBefore w:val="0"/>
        <w:widowControl w:val="0"/>
        <w:kinsoku/>
        <w:wordWrap/>
        <w:overflowPunct/>
        <w:topLinePunct w:val="0"/>
        <w:autoSpaceDE/>
        <w:autoSpaceDN/>
        <w:bidi w:val="0"/>
        <w:adjustRightInd w:val="0"/>
        <w:snapToGrid w:val="0"/>
        <w:spacing w:line="440" w:lineRule="exact"/>
        <w:ind w:left="0" w:right="0" w:firstLine="72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spacing w:val="1"/>
          <w:kern w:val="2"/>
          <w:sz w:val="32"/>
          <w:szCs w:val="32"/>
          <w:lang w:val="en-US" w:eastAsia="zh-CN" w:bidi="ar-SA"/>
        </w:rPr>
        <w:t>本次绩效评价总分为100分，经管理局自评，评价得分100分。该项目</w:t>
      </w:r>
      <w:r>
        <w:rPr>
          <w:rFonts w:hint="eastAsia" w:ascii="仿宋_GB2312" w:hAnsi="仿宋_GB2312" w:eastAsia="仿宋_GB2312" w:cs="仿宋_GB2312"/>
          <w:spacing w:val="1"/>
          <w:kern w:val="2"/>
          <w:sz w:val="32"/>
          <w:szCs w:val="32"/>
          <w:lang w:val="zh-CN" w:eastAsia="zh-CN" w:bidi="ar-SA"/>
        </w:rPr>
        <w:t>按照任务要求，目前已构建了</w:t>
      </w:r>
      <w:r>
        <w:rPr>
          <w:rFonts w:hint="eastAsia" w:ascii="仿宋_GB2312" w:hAnsi="仿宋_GB2312" w:eastAsia="仿宋_GB2312" w:cs="仿宋_GB2312"/>
          <w:spacing w:val="1"/>
          <w:kern w:val="2"/>
          <w:sz w:val="32"/>
          <w:szCs w:val="32"/>
          <w:lang w:val="en-US" w:eastAsia="zh-CN" w:bidi="ar-SA"/>
        </w:rPr>
        <w:t>基于云微服务的达古冰川智慧旅游服务平台各模块的开发</w:t>
      </w:r>
      <w:r>
        <w:rPr>
          <w:rFonts w:hint="eastAsia" w:ascii="仿宋_GB2312" w:hAnsi="仿宋_GB2312" w:eastAsia="仿宋_GB2312" w:cs="仿宋_GB2312"/>
          <w:spacing w:val="1"/>
          <w:kern w:val="2"/>
          <w:sz w:val="32"/>
          <w:szCs w:val="32"/>
          <w:lang w:val="zh-CN" w:eastAsia="zh-CN" w:bidi="ar-SA"/>
        </w:rPr>
        <w:t>，研制了基于云计算微服务的达古冰川智慧旅游服务基础平台，发表了研究论文2篇，在审论文1篇，申请发明专利3项，申请了2项软件作品登记。</w:t>
      </w:r>
    </w:p>
    <w:p w14:paraId="576F7E0F">
      <w:pPr>
        <w:keepNext w:val="0"/>
        <w:keepLines w:val="0"/>
        <w:pageBreakBefore w:val="0"/>
        <w:widowControl/>
        <w:numPr>
          <w:ilvl w:val="0"/>
          <w:numId w:val="0"/>
        </w:numPr>
        <w:kinsoku/>
        <w:wordWrap/>
        <w:overflowPunct/>
        <w:topLinePunct w:val="0"/>
        <w:autoSpaceDE/>
        <w:autoSpaceDN/>
        <w:bidi w:val="0"/>
        <w:adjustRightInd/>
        <w:spacing w:line="440" w:lineRule="exact"/>
        <w:ind w:left="0" w:leftChars="0" w:right="0" w:firstLine="640" w:firstLineChars="200"/>
        <w:jc w:val="left"/>
        <w:textAlignment w:val="auto"/>
        <w:rPr>
          <w:rFonts w:hint="eastAsia" w:ascii="黑体" w:hAnsi="黑体" w:eastAsia="黑体" w:cs="黑体"/>
          <w:color w:val="auto"/>
          <w:kern w:val="0"/>
          <w:position w:val="3"/>
          <w:sz w:val="32"/>
          <w:szCs w:val="32"/>
          <w:highlight w:val="none"/>
          <w:u w:val="none"/>
          <w:lang w:val="en-US" w:eastAsia="zh-CN" w:bidi="ar-SA"/>
        </w:rPr>
      </w:pPr>
      <w:r>
        <w:rPr>
          <w:rFonts w:hint="eastAsia" w:ascii="黑体" w:hAnsi="黑体" w:eastAsia="黑体" w:cs="黑体"/>
          <w:color w:val="auto"/>
          <w:kern w:val="0"/>
          <w:position w:val="3"/>
          <w:sz w:val="32"/>
          <w:szCs w:val="32"/>
          <w:highlight w:val="none"/>
          <w:u w:val="none"/>
          <w:lang w:val="en-US" w:eastAsia="zh-CN" w:bidi="ar-SA"/>
        </w:rPr>
        <w:t>五、存在主要问题</w:t>
      </w:r>
    </w:p>
    <w:p w14:paraId="3EBAA660">
      <w:pPr>
        <w:keepNext w:val="0"/>
        <w:keepLines w:val="0"/>
        <w:pageBreakBefore w:val="0"/>
        <w:kinsoku/>
        <w:wordWrap/>
        <w:overflowPunct/>
        <w:topLinePunct w:val="0"/>
        <w:autoSpaceDE/>
        <w:autoSpaceDN/>
        <w:bidi w:val="0"/>
        <w:adjustRightInd w:val="0"/>
        <w:snapToGrid w:val="0"/>
        <w:spacing w:line="440" w:lineRule="exact"/>
        <w:ind w:left="0" w:leftChars="0" w:right="0" w:firstLine="72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暂无。</w:t>
      </w:r>
    </w:p>
    <w:p w14:paraId="49FE3564">
      <w:pPr>
        <w:keepNext w:val="0"/>
        <w:keepLines w:val="0"/>
        <w:pageBreakBefore w:val="0"/>
        <w:widowControl/>
        <w:numPr>
          <w:ilvl w:val="0"/>
          <w:numId w:val="0"/>
        </w:numPr>
        <w:kinsoku/>
        <w:wordWrap/>
        <w:overflowPunct/>
        <w:topLinePunct w:val="0"/>
        <w:autoSpaceDE/>
        <w:autoSpaceDN/>
        <w:bidi w:val="0"/>
        <w:adjustRightInd/>
        <w:spacing w:line="440" w:lineRule="exact"/>
        <w:ind w:left="0" w:leftChars="0" w:right="0" w:firstLine="640" w:firstLineChars="200"/>
        <w:jc w:val="left"/>
        <w:textAlignment w:val="auto"/>
        <w:rPr>
          <w:rFonts w:hint="eastAsia" w:ascii="黑体" w:hAnsi="黑体" w:eastAsia="黑体" w:cs="黑体"/>
          <w:color w:val="auto"/>
          <w:kern w:val="0"/>
          <w:position w:val="3"/>
          <w:sz w:val="32"/>
          <w:szCs w:val="32"/>
          <w:highlight w:val="none"/>
          <w:u w:val="none"/>
          <w:lang w:val="zh-CN" w:eastAsia="zh-CN" w:bidi="ar-SA"/>
        </w:rPr>
      </w:pPr>
      <w:r>
        <w:rPr>
          <w:rFonts w:hint="eastAsia" w:ascii="黑体" w:hAnsi="黑体" w:eastAsia="黑体" w:cs="黑体"/>
          <w:color w:val="auto"/>
          <w:kern w:val="0"/>
          <w:position w:val="3"/>
          <w:sz w:val="32"/>
          <w:szCs w:val="32"/>
          <w:highlight w:val="none"/>
          <w:u w:val="none"/>
          <w:lang w:val="zh-CN" w:eastAsia="zh-CN" w:bidi="ar-SA"/>
        </w:rPr>
        <w:t>六、改进建议</w:t>
      </w:r>
    </w:p>
    <w:p w14:paraId="34A2F4C4">
      <w:pPr>
        <w:keepNext w:val="0"/>
        <w:keepLines w:val="0"/>
        <w:pageBreakBefore w:val="0"/>
        <w:kinsoku/>
        <w:wordWrap/>
        <w:overflowPunct/>
        <w:topLinePunct w:val="0"/>
        <w:autoSpaceDE/>
        <w:autoSpaceDN/>
        <w:bidi w:val="0"/>
        <w:adjustRightInd w:val="0"/>
        <w:snapToGrid w:val="0"/>
        <w:spacing w:line="440" w:lineRule="exact"/>
        <w:ind w:left="0" w:right="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暂无。</w:t>
      </w:r>
    </w:p>
    <w:p w14:paraId="3CCD75A1">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lang w:val="en-US" w:eastAsia="zh-CN"/>
        </w:rPr>
      </w:pPr>
    </w:p>
    <w:p w14:paraId="087903EF">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2022年第一批省级科技计划项目</w:t>
      </w:r>
    </w:p>
    <w:p w14:paraId="64A6A7AF">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专项资金</w:t>
      </w:r>
      <w:r>
        <w:rPr>
          <w:rFonts w:hint="eastAsia" w:ascii="方正小标宋简体" w:hAnsi="方正小标宋简体" w:eastAsia="方正小标宋简体" w:cs="方正小标宋简体"/>
          <w:sz w:val="44"/>
          <w:szCs w:val="44"/>
        </w:rPr>
        <w:t>支出绩效</w:t>
      </w:r>
      <w:r>
        <w:rPr>
          <w:rFonts w:hint="eastAsia" w:ascii="方正小标宋简体" w:hAnsi="方正小标宋简体" w:eastAsia="方正小标宋简体" w:cs="方正小标宋简体"/>
          <w:sz w:val="44"/>
          <w:szCs w:val="44"/>
          <w:lang w:val="en-US" w:eastAsia="zh-CN"/>
        </w:rPr>
        <w:t>评价</w:t>
      </w:r>
      <w:r>
        <w:rPr>
          <w:rFonts w:hint="eastAsia" w:ascii="方正小标宋简体" w:hAnsi="方正小标宋简体" w:eastAsia="方正小标宋简体" w:cs="方正小标宋简体"/>
          <w:sz w:val="44"/>
          <w:szCs w:val="44"/>
        </w:rPr>
        <w:t>报告</w:t>
      </w:r>
    </w:p>
    <w:p w14:paraId="347B5139">
      <w:pPr>
        <w:pStyle w:val="37"/>
        <w:keepNext w:val="0"/>
        <w:keepLines w:val="0"/>
        <w:pageBreakBefore w:val="0"/>
        <w:kinsoku/>
        <w:wordWrap/>
        <w:overflowPunct/>
        <w:topLinePunct w:val="0"/>
        <w:autoSpaceDE/>
        <w:autoSpaceDN/>
        <w:bidi w:val="0"/>
        <w:spacing w:line="440" w:lineRule="exact"/>
        <w:ind w:left="0" w:right="0"/>
        <w:jc w:val="center"/>
        <w:textAlignment w:val="auto"/>
        <w:rPr>
          <w:rFonts w:hint="eastAsia" w:ascii="方正小标宋简体" w:hAnsi="方正小标宋简体" w:eastAsia="方正小标宋简体" w:cs="方正小标宋简体"/>
          <w:sz w:val="44"/>
          <w:szCs w:val="44"/>
        </w:rPr>
      </w:pPr>
    </w:p>
    <w:p w14:paraId="2BA5D7F5">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ascii="宋体" w:hAnsi="宋体"/>
          <w:color w:val="auto"/>
          <w:kern w:val="2"/>
          <w:sz w:val="32"/>
          <w:szCs w:val="32"/>
        </w:rPr>
      </w:pPr>
      <w:r>
        <w:rPr>
          <w:rFonts w:hint="eastAsia" w:ascii="仿宋_GB2312" w:hAnsi="仿宋_GB2312" w:eastAsia="仿宋_GB2312" w:cs="仿宋_GB2312"/>
          <w:i w:val="0"/>
          <w:iCs w:val="0"/>
          <w:caps w:val="0"/>
          <w:color w:val="2B2B2B"/>
          <w:spacing w:val="0"/>
          <w:sz w:val="32"/>
          <w:szCs w:val="32"/>
        </w:rPr>
        <w:t>为进一步规范财政资金管理，强化绩效和责任意识，切实提高</w:t>
      </w:r>
      <w:r>
        <w:rPr>
          <w:rFonts w:hint="eastAsia" w:ascii="仿宋_GB2312" w:hAnsi="仿宋_GB2312" w:eastAsia="仿宋_GB2312" w:cs="仿宋_GB2312"/>
          <w:i w:val="0"/>
          <w:iCs w:val="0"/>
          <w:caps w:val="0"/>
          <w:color w:val="2B2B2B"/>
          <w:spacing w:val="0"/>
          <w:sz w:val="32"/>
          <w:szCs w:val="32"/>
          <w:lang w:val="en-US" w:eastAsia="zh-CN"/>
        </w:rPr>
        <w:t>专项预算</w:t>
      </w:r>
      <w:r>
        <w:rPr>
          <w:rFonts w:hint="eastAsia" w:ascii="仿宋_GB2312" w:hAnsi="仿宋_GB2312" w:eastAsia="仿宋_GB2312" w:cs="仿宋_GB2312"/>
          <w:i w:val="0"/>
          <w:iCs w:val="0"/>
          <w:caps w:val="0"/>
          <w:color w:val="2B2B2B"/>
          <w:spacing w:val="0"/>
          <w:sz w:val="32"/>
          <w:szCs w:val="32"/>
        </w:rPr>
        <w:t>资金使用效益，</w:t>
      </w:r>
      <w:r>
        <w:rPr>
          <w:rFonts w:hint="eastAsia" w:ascii="仿宋_GB2312" w:hAnsi="仿宋_GB2312" w:eastAsia="仿宋_GB2312" w:cs="仿宋_GB2312"/>
          <w:i w:val="0"/>
          <w:iCs w:val="0"/>
          <w:caps w:val="0"/>
          <w:color w:val="2B2B2B"/>
          <w:spacing w:val="0"/>
          <w:sz w:val="32"/>
          <w:szCs w:val="32"/>
          <w:lang w:val="en-US" w:eastAsia="zh-CN"/>
        </w:rPr>
        <w:t>管理局按照省、州相关</w:t>
      </w:r>
      <w:r>
        <w:rPr>
          <w:rFonts w:hint="eastAsia" w:ascii="仿宋_GB2312" w:hAnsi="仿宋_GB2312" w:eastAsia="仿宋_GB2312" w:cs="仿宋_GB2312"/>
          <w:i w:val="0"/>
          <w:iCs w:val="0"/>
          <w:caps w:val="0"/>
          <w:color w:val="2B2B2B"/>
          <w:spacing w:val="0"/>
          <w:sz w:val="32"/>
          <w:szCs w:val="32"/>
        </w:rPr>
        <w:t>文件精神，根据项目的实际情况，结合项目预算执行率、项目效益等方面对专项</w:t>
      </w:r>
      <w:r>
        <w:rPr>
          <w:rFonts w:hint="eastAsia" w:ascii="仿宋_GB2312" w:hAnsi="仿宋_GB2312" w:eastAsia="仿宋_GB2312" w:cs="仿宋_GB2312"/>
          <w:i w:val="0"/>
          <w:iCs w:val="0"/>
          <w:caps w:val="0"/>
          <w:color w:val="2B2B2B"/>
          <w:spacing w:val="0"/>
          <w:sz w:val="32"/>
          <w:szCs w:val="32"/>
          <w:lang w:val="en-US" w:eastAsia="zh-CN"/>
        </w:rPr>
        <w:t>预算项目绩效开展了评价工作，</w:t>
      </w:r>
      <w:r>
        <w:rPr>
          <w:rFonts w:hint="eastAsia" w:ascii="仿宋_GB2312" w:hAnsi="仿宋_GB2312" w:eastAsia="仿宋_GB2312" w:cs="仿宋_GB2312"/>
          <w:i w:val="0"/>
          <w:iCs w:val="0"/>
          <w:caps w:val="0"/>
          <w:color w:val="2B2B2B"/>
          <w:spacing w:val="0"/>
          <w:sz w:val="32"/>
          <w:szCs w:val="32"/>
        </w:rPr>
        <w:t>现将情况报告如下</w:t>
      </w:r>
      <w:r>
        <w:rPr>
          <w:rFonts w:hint="eastAsia" w:ascii="仿宋_GB2312" w:hAnsi="仿宋_GB2312" w:eastAsia="仿宋_GB2312" w:cs="仿宋_GB2312"/>
          <w:i w:val="0"/>
          <w:iCs w:val="0"/>
          <w:caps w:val="0"/>
          <w:color w:val="2B2B2B"/>
          <w:spacing w:val="0"/>
          <w:sz w:val="32"/>
          <w:szCs w:val="32"/>
          <w:lang w:eastAsia="zh-CN"/>
        </w:rPr>
        <w:t>：</w:t>
      </w:r>
    </w:p>
    <w:p w14:paraId="346133C0">
      <w:pPr>
        <w:keepNext w:val="0"/>
        <w:keepLines w:val="0"/>
        <w:pageBreakBefore w:val="0"/>
        <w:kinsoku/>
        <w:wordWrap/>
        <w:overflowPunct/>
        <w:topLinePunct w:val="0"/>
        <w:autoSpaceDE/>
        <w:autoSpaceDN/>
        <w:bidi w:val="0"/>
        <w:adjustRightInd w:val="0"/>
        <w:snapToGrid w:val="0"/>
        <w:spacing w:line="440" w:lineRule="exact"/>
        <w:ind w:left="0" w:right="0" w:firstLine="420" w:firstLineChars="200"/>
        <w:textAlignment w:val="auto"/>
        <w:rPr>
          <w:rFonts w:ascii="黑体" w:hAnsi="宋体" w:eastAsia="黑体"/>
          <w:lang w:val="zh-CN"/>
        </w:rPr>
      </w:pPr>
      <w:r>
        <w:rPr>
          <w:rFonts w:hint="eastAsia" w:ascii="黑体" w:hAnsi="宋体" w:eastAsia="黑体"/>
        </w:rPr>
        <w:t>一、</w:t>
      </w:r>
      <w:r>
        <w:rPr>
          <w:rFonts w:hint="eastAsia" w:ascii="黑体" w:hAnsi="宋体" w:eastAsia="黑体"/>
          <w:lang w:val="zh-CN"/>
        </w:rPr>
        <w:t>项目概况</w:t>
      </w:r>
    </w:p>
    <w:p w14:paraId="7D35A8C4">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（一）设立背景及基本情况</w:t>
      </w:r>
    </w:p>
    <w:p w14:paraId="41464CEA">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zh-CN"/>
        </w:rPr>
      </w:pPr>
      <w:r>
        <w:rPr>
          <w:rFonts w:hint="eastAsia" w:ascii="仿宋_GB2312" w:hAnsi="仿宋_GB2312" w:eastAsia="仿宋_GB2312" w:cs="仿宋_GB2312"/>
          <w:b/>
          <w:color w:val="auto"/>
          <w:sz w:val="32"/>
          <w:szCs w:val="32"/>
          <w:highlight w:val="none"/>
          <w:u w:val="none"/>
          <w:lang w:val="en-US" w:eastAsia="zh-CN"/>
        </w:rPr>
        <w:t>1.项目背景</w:t>
      </w:r>
    </w:p>
    <w:p w14:paraId="16AB86CC">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rPr>
      </w:pPr>
      <w:r>
        <w:rPr>
          <w:rFonts w:hint="eastAsia" w:ascii="仿宋_GB2312" w:hAnsi="仿宋_GB2312" w:eastAsia="仿宋_GB2312" w:cs="仿宋_GB2312"/>
          <w:i w:val="0"/>
          <w:iCs w:val="0"/>
          <w:caps w:val="0"/>
          <w:color w:val="2B2B2B"/>
          <w:spacing w:val="0"/>
          <w:sz w:val="32"/>
          <w:szCs w:val="32"/>
          <w:lang w:val="en-US" w:eastAsia="zh-CN"/>
        </w:rPr>
        <w:t>项</w:t>
      </w:r>
      <w:r>
        <w:rPr>
          <w:rFonts w:hint="eastAsia" w:ascii="仿宋_GB2312" w:hAnsi="仿宋_GB2312" w:eastAsia="仿宋_GB2312" w:cs="仿宋_GB2312"/>
          <w:i w:val="0"/>
          <w:iCs w:val="0"/>
          <w:caps w:val="0"/>
          <w:color w:val="2B2B2B"/>
          <w:spacing w:val="0"/>
          <w:sz w:val="32"/>
          <w:szCs w:val="32"/>
          <w:lang w:val="zh-CN"/>
        </w:rPr>
        <w:t>目围绕阿坝州“一线一廊两道六带”和优化后的“一城三廊四带九区”的1349文旅发展新布局，构建“一屏四带、全域生态”的生态屏障。通过项目的研究，研发面向3S技术的阿坝州生态资源调查及公共服务平台，并进行示范应用，具体目标包括：挖掘阿坝州生态资源动态变化规律及空间分布特征；研究阿坝州文化旅游相关的生态资源地理信息的精准识别技术；研究高分遥感、高精度定位以及地理信息技术在阿坝生态、文化旅游以及二者关系提取和识别中的深度融合；设计开发基于3S技术的阿坝州生态资源与旅游资源公共服务平台，坝州生态资源利用保护与文化旅游资源开发间的融合发展提供决策支撑，助力阿坝州生态旅游和全域旅游建设。</w:t>
      </w:r>
    </w:p>
    <w:p w14:paraId="707D148A">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zh-CN"/>
        </w:rPr>
      </w:pPr>
      <w:r>
        <w:rPr>
          <w:rFonts w:hint="eastAsia" w:ascii="仿宋_GB2312" w:hAnsi="仿宋_GB2312" w:cs="仿宋_GB2312"/>
          <w:b/>
          <w:color w:val="auto"/>
          <w:sz w:val="32"/>
          <w:szCs w:val="32"/>
          <w:highlight w:val="none"/>
          <w:u w:val="none"/>
          <w:lang w:val="en-US" w:eastAsia="zh-CN"/>
        </w:rPr>
        <w:t>2.</w:t>
      </w:r>
      <w:r>
        <w:rPr>
          <w:rFonts w:hint="eastAsia" w:ascii="仿宋_GB2312" w:hAnsi="仿宋_GB2312" w:eastAsia="仿宋_GB2312" w:cs="仿宋_GB2312"/>
          <w:b/>
          <w:color w:val="auto"/>
          <w:sz w:val="32"/>
          <w:szCs w:val="32"/>
          <w:highlight w:val="none"/>
          <w:u w:val="none"/>
          <w:lang w:val="en-US" w:eastAsia="zh-CN"/>
        </w:rPr>
        <w:t>项目</w:t>
      </w:r>
      <w:r>
        <w:rPr>
          <w:rFonts w:hint="eastAsia" w:ascii="仿宋_GB2312" w:hAnsi="仿宋_GB2312" w:eastAsia="仿宋_GB2312" w:cs="仿宋_GB2312"/>
          <w:b/>
          <w:color w:val="auto"/>
          <w:sz w:val="32"/>
          <w:szCs w:val="32"/>
          <w:highlight w:val="none"/>
          <w:u w:val="none"/>
          <w:lang w:val="zh-CN"/>
        </w:rPr>
        <w:t>基本情况</w:t>
      </w:r>
    </w:p>
    <w:p w14:paraId="65C99C11">
      <w:pPr>
        <w:pageBreakBefore w:val="0"/>
        <w:numPr>
          <w:ilvl w:val="0"/>
          <w:numId w:val="0"/>
        </w:numPr>
        <w:kinsoku/>
        <w:wordWrap/>
        <w:overflowPunct/>
        <w:topLinePunct w:val="0"/>
        <w:bidi w:val="0"/>
        <w:adjustRightInd w:val="0"/>
        <w:snapToGrid w:val="0"/>
        <w:spacing w:line="440" w:lineRule="exact"/>
        <w:ind w:firstLine="640" w:firstLineChars="200"/>
        <w:rPr>
          <w:rFonts w:hint="eastAsia" w:ascii="仿宋_GB2312" w:hAnsi="仿宋_GB2312" w:eastAsia="仿宋_GB2312" w:cs="仿宋_GB2312"/>
          <w:i w:val="0"/>
          <w:iCs w:val="0"/>
          <w:caps w:val="0"/>
          <w:color w:val="2B2B2B"/>
          <w:spacing w:val="0"/>
          <w:sz w:val="32"/>
          <w:szCs w:val="32"/>
          <w:lang w:val="en-US" w:eastAsia="zh-CN"/>
        </w:rPr>
      </w:pPr>
      <w:r>
        <w:rPr>
          <w:rFonts w:hint="eastAsia" w:ascii="仿宋_GB2312" w:hAnsi="宋体"/>
          <w:sz w:val="32"/>
          <w:szCs w:val="32"/>
          <w:lang w:val="en-US" w:eastAsia="zh-CN"/>
        </w:rPr>
        <w:t>该</w:t>
      </w:r>
      <w:r>
        <w:rPr>
          <w:rFonts w:hint="eastAsia" w:ascii="仿宋_GB2312" w:hAnsi="宋体" w:eastAsia="仿宋_GB2312"/>
          <w:sz w:val="32"/>
          <w:szCs w:val="32"/>
          <w:lang w:val="en-US" w:eastAsia="zh-CN"/>
        </w:rPr>
        <w:t>项目为达古冰川管理局、电子科技大学、四川旅游学院三家联合申报，符合项目申报的各项条件，项目符合州委州政府构建“一屏四带、全域生态”的重大决策部署，属于旅游行业的重大研发项目，本项目研究主要包括了3项关键技术，项目的顺利实施将致力于阿坝州生态资源调查及公共服务平台的搭建，形成集页面展示、逻辑业务管理、业务数据标准化处理与应用产品生产于一体的阿坝州生态资源调查及公共服务平台，利用3S技术提升生态资源评价、规划管控、生态资源监测等领域的业务能力和效能。本项目充分利用人工智能技术、3S技术等，运用遥感、计算机、生态等多种知识，构建阿坝州生态资源与旅游资源公共服务平台，对</w:t>
      </w:r>
      <w:r>
        <w:rPr>
          <w:rFonts w:hint="eastAsia" w:ascii="仿宋_GB2312" w:hAnsi="仿宋_GB2312" w:eastAsia="仿宋_GB2312" w:cs="仿宋_GB2312"/>
          <w:i w:val="0"/>
          <w:iCs w:val="0"/>
          <w:caps w:val="0"/>
          <w:color w:val="2B2B2B"/>
          <w:spacing w:val="0"/>
          <w:sz w:val="32"/>
          <w:szCs w:val="32"/>
          <w:lang w:val="en-US" w:eastAsia="zh-CN"/>
        </w:rPr>
        <w:t>阿坝州生态资源保护有着重大意义，有利于推动阿坝州的生态资源与文化旅游的可持续性发展。该项目资金为省级专项资金项目。</w:t>
      </w:r>
    </w:p>
    <w:p w14:paraId="0B7434B0">
      <w:pPr>
        <w:keepNext w:val="0"/>
        <w:keepLines w:val="0"/>
        <w:pageBreakBefore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（二）实施目的及支持方向</w:t>
      </w:r>
    </w:p>
    <w:p w14:paraId="2AE7D53D">
      <w:pPr>
        <w:keepNext w:val="0"/>
        <w:keepLines w:val="0"/>
        <w:pageBreakBefore w:val="0"/>
        <w:widowControl/>
        <w:shd w:val="clear" w:color="auto" w:fill="FFFFFF"/>
        <w:kinsoku/>
        <w:wordWrap/>
        <w:overflowPunct/>
        <w:topLinePunct w:val="0"/>
        <w:autoSpaceDE/>
        <w:autoSpaceDN/>
        <w:bidi w:val="0"/>
        <w:spacing w:line="440" w:lineRule="exact"/>
        <w:ind w:left="0" w:righ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1.项目资金管理办法制定情况</w:t>
      </w:r>
    </w:p>
    <w:p w14:paraId="3F38788A">
      <w:pPr>
        <w:keepNext w:val="0"/>
        <w:keepLines w:val="0"/>
        <w:pageBreakBefore w:val="0"/>
        <w:widowControl/>
        <w:shd w:val="clear" w:color="auto" w:fill="FFFFFF"/>
        <w:kinsoku/>
        <w:wordWrap/>
        <w:overflowPunct/>
        <w:topLinePunct w:val="0"/>
        <w:autoSpaceDE/>
        <w:autoSpaceDN/>
        <w:bidi w:val="0"/>
        <w:spacing w:line="440" w:lineRule="exact"/>
        <w:ind w:left="0" w:right="0" w:firstLine="640" w:firstLineChars="200"/>
        <w:textAlignment w:val="auto"/>
        <w:rPr>
          <w:rFonts w:hint="eastAsia" w:ascii="仿宋_GB2312" w:hAnsi="仿宋_GB2312" w:eastAsia="仿宋_GB2312" w:cs="仿宋_GB2312"/>
          <w:color w:val="auto"/>
          <w:kern w:val="0"/>
          <w:sz w:val="32"/>
          <w:szCs w:val="32"/>
          <w:highlight w:val="none"/>
          <w:u w:val="none"/>
          <w:shd w:val="clear" w:color="auto" w:fill="FFFFFF"/>
          <w:lang w:val="en-US" w:eastAsia="zh-CN"/>
        </w:rPr>
      </w:pPr>
      <w:r>
        <w:rPr>
          <w:rFonts w:hint="eastAsia" w:ascii="仿宋_GB2312" w:hAnsi="仿宋_GB2312" w:eastAsia="仿宋_GB2312" w:cs="仿宋_GB2312"/>
          <w:b w:val="0"/>
          <w:bCs/>
          <w:color w:val="auto"/>
          <w:sz w:val="32"/>
          <w:szCs w:val="32"/>
          <w:highlight w:val="none"/>
          <w:u w:val="none"/>
          <w:lang w:val="en-US" w:eastAsia="zh-CN"/>
        </w:rPr>
        <w:t>该</w:t>
      </w:r>
      <w:r>
        <w:rPr>
          <w:rFonts w:hint="eastAsia" w:ascii="仿宋_GB2312" w:hAnsi="仿宋_GB2312" w:eastAsia="仿宋_GB2312" w:cs="仿宋_GB2312"/>
          <w:color w:val="auto"/>
          <w:kern w:val="0"/>
          <w:sz w:val="32"/>
          <w:szCs w:val="32"/>
          <w:highlight w:val="none"/>
          <w:u w:val="none"/>
          <w:shd w:val="clear" w:color="auto" w:fill="FFFFFF"/>
          <w:lang w:val="en-US" w:eastAsia="zh-CN"/>
        </w:rPr>
        <w:t>项目资金</w:t>
      </w:r>
      <w:r>
        <w:rPr>
          <w:rFonts w:hint="eastAsia" w:ascii="仿宋_GB2312" w:hAnsi="仿宋_GB2312" w:eastAsia="仿宋_GB2312" w:cs="仿宋_GB2312"/>
          <w:color w:val="auto"/>
          <w:kern w:val="0"/>
          <w:sz w:val="32"/>
          <w:szCs w:val="32"/>
          <w:highlight w:val="none"/>
          <w:u w:val="none"/>
          <w:shd w:val="clear" w:color="auto" w:fill="FFFFFF"/>
          <w:lang w:val="zh-CN"/>
        </w:rPr>
        <w:t>管理办法</w:t>
      </w:r>
      <w:r>
        <w:rPr>
          <w:rFonts w:hint="eastAsia" w:ascii="仿宋_GB2312" w:hAnsi="仿宋_GB2312" w:eastAsia="仿宋_GB2312" w:cs="仿宋_GB2312"/>
          <w:color w:val="auto"/>
          <w:kern w:val="0"/>
          <w:sz w:val="32"/>
          <w:szCs w:val="32"/>
          <w:highlight w:val="none"/>
          <w:u w:val="none"/>
          <w:shd w:val="clear" w:color="auto" w:fill="FFFFFF"/>
          <w:lang w:val="en-US" w:eastAsia="zh-CN"/>
        </w:rPr>
        <w:t>制度体系完善，不存在管理制度缺失、管理办法过期等情况。</w:t>
      </w:r>
    </w:p>
    <w:p w14:paraId="764BEF23">
      <w:pPr>
        <w:keepNext w:val="0"/>
        <w:keepLines w:val="0"/>
        <w:pageBreakBefore w:val="0"/>
        <w:widowControl/>
        <w:numPr>
          <w:ilvl w:val="0"/>
          <w:numId w:val="0"/>
        </w:numPr>
        <w:shd w:val="clear" w:color="auto" w:fill="FFFFFF"/>
        <w:kinsoku/>
        <w:wordWrap/>
        <w:overflowPunct/>
        <w:topLinePunct w:val="0"/>
        <w:autoSpaceDE/>
        <w:autoSpaceDN/>
        <w:bidi w:val="0"/>
        <w:spacing w:line="440" w:lineRule="exact"/>
        <w:ind w:left="0" w:right="0" w:firstLine="643" w:firstLineChars="200"/>
        <w:textAlignment w:val="auto"/>
        <w:rPr>
          <w:rFonts w:hint="eastAsia" w:ascii="仿宋_GB2312" w:hAnsi="仿宋_GB2312" w:eastAsia="仿宋_GB2312" w:cs="仿宋_GB2312"/>
          <w:b/>
          <w:bCs/>
          <w:color w:val="auto"/>
          <w:kern w:val="0"/>
          <w:sz w:val="32"/>
          <w:szCs w:val="32"/>
          <w:highlight w:val="none"/>
          <w:u w:val="none"/>
          <w:shd w:val="clear" w:color="auto" w:fill="FFFFFF"/>
          <w:lang w:val="en-US" w:eastAsia="zh-CN"/>
        </w:rPr>
      </w:pPr>
      <w:r>
        <w:rPr>
          <w:rFonts w:hint="eastAsia" w:ascii="仿宋_GB2312" w:hAnsi="仿宋_GB2312" w:eastAsia="仿宋_GB2312" w:cs="仿宋_GB2312"/>
          <w:b/>
          <w:bCs/>
          <w:color w:val="auto"/>
          <w:kern w:val="0"/>
          <w:sz w:val="32"/>
          <w:szCs w:val="32"/>
          <w:highlight w:val="none"/>
          <w:u w:val="none"/>
          <w:shd w:val="clear" w:color="auto" w:fill="FFFFFF"/>
          <w:lang w:val="en-US" w:eastAsia="zh-CN"/>
        </w:rPr>
        <w:t>2.项目实施目的和主要工作任务</w:t>
      </w:r>
    </w:p>
    <w:p w14:paraId="74872D9F">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color w:val="auto"/>
          <w:sz w:val="32"/>
          <w:szCs w:val="32"/>
          <w:highlight w:val="none"/>
          <w:u w:val="none"/>
          <w:lang w:val="en-US" w:eastAsia="zh-CN"/>
        </w:rPr>
        <w:t>（三）预算安排及分配管理</w:t>
      </w:r>
    </w:p>
    <w:p w14:paraId="434DEE10">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eastAsia="zh-CN"/>
        </w:rPr>
      </w:pPr>
      <w:r>
        <w:rPr>
          <w:rFonts w:hint="eastAsia" w:ascii="仿宋_GB2312" w:hAnsi="仿宋_GB2312" w:eastAsia="仿宋_GB2312" w:cs="仿宋_GB2312"/>
          <w:i w:val="0"/>
          <w:iCs w:val="0"/>
          <w:caps w:val="0"/>
          <w:color w:val="2B2B2B"/>
          <w:spacing w:val="0"/>
          <w:sz w:val="32"/>
          <w:szCs w:val="32"/>
          <w:lang w:val="zh-CN" w:eastAsia="zh-CN"/>
        </w:rPr>
        <w:t>本项目立项经费100万，批复经费100万，其中财政经费100万。项目经费立项和批复符合资金管理办法等相关规定。</w:t>
      </w:r>
    </w:p>
    <w:p w14:paraId="62EA51E6">
      <w:pPr>
        <w:keepNext w:val="0"/>
        <w:keepLines w:val="0"/>
        <w:pageBreakBefore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color w:val="auto"/>
          <w:sz w:val="32"/>
          <w:szCs w:val="32"/>
          <w:highlight w:val="none"/>
          <w:u w:val="none"/>
          <w:lang w:val="en-US" w:eastAsia="zh-CN"/>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color w:val="auto"/>
          <w:sz w:val="32"/>
          <w:szCs w:val="32"/>
          <w:highlight w:val="none"/>
          <w:u w:val="none"/>
          <w:lang w:val="en-US" w:eastAsia="zh-CN"/>
        </w:rPr>
        <w:t>项目</w:t>
      </w:r>
      <w:r>
        <w:rPr>
          <w:rFonts w:hint="eastAsia" w:ascii="仿宋_GB2312" w:hAnsi="仿宋_GB2312" w:eastAsia="仿宋_GB2312" w:cs="仿宋_GB2312"/>
          <w:b/>
          <w:color w:val="auto"/>
          <w:sz w:val="32"/>
          <w:szCs w:val="32"/>
          <w:highlight w:val="none"/>
          <w:u w:val="none"/>
          <w:lang w:val="zh-CN" w:eastAsia="zh-CN"/>
        </w:rPr>
        <w:t>绩效目标</w:t>
      </w:r>
      <w:r>
        <w:rPr>
          <w:rFonts w:hint="eastAsia" w:ascii="仿宋_GB2312" w:hAnsi="仿宋_GB2312" w:eastAsia="仿宋_GB2312" w:cs="仿宋_GB2312"/>
          <w:b/>
          <w:color w:val="auto"/>
          <w:sz w:val="32"/>
          <w:szCs w:val="32"/>
          <w:highlight w:val="none"/>
          <w:u w:val="none"/>
          <w:lang w:val="en-US" w:eastAsia="zh-CN"/>
        </w:rPr>
        <w:t>设置</w:t>
      </w:r>
    </w:p>
    <w:p w14:paraId="3D06C2AF">
      <w:pPr>
        <w:keepNext w:val="0"/>
        <w:keepLines w:val="0"/>
        <w:pageBreakBefore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bCs/>
          <w:color w:val="auto"/>
          <w:kern w:val="0"/>
          <w:sz w:val="32"/>
          <w:szCs w:val="32"/>
          <w:highlight w:val="none"/>
          <w:u w:val="none"/>
          <w:shd w:val="clear" w:color="auto" w:fill="FFFFFF"/>
          <w:lang w:val="en-US" w:eastAsia="zh-CN"/>
        </w:rPr>
      </w:pPr>
      <w:r>
        <w:rPr>
          <w:rFonts w:hint="eastAsia" w:ascii="仿宋_GB2312" w:hAnsi="仿宋_GB2312" w:eastAsia="仿宋_GB2312" w:cs="仿宋_GB2312"/>
          <w:b/>
          <w:color w:val="auto"/>
          <w:sz w:val="32"/>
          <w:szCs w:val="32"/>
          <w:highlight w:val="none"/>
          <w:u w:val="none"/>
          <w:lang w:val="en-US" w:eastAsia="zh-CN"/>
        </w:rPr>
        <w:t xml:space="preserve"> </w:t>
      </w:r>
      <w:r>
        <w:rPr>
          <w:rFonts w:hint="eastAsia" w:ascii="仿宋_GB2312" w:hAnsi="仿宋_GB2312" w:eastAsia="仿宋_GB2312" w:cs="仿宋_GB2312"/>
          <w:b/>
          <w:bCs/>
          <w:color w:val="auto"/>
          <w:kern w:val="0"/>
          <w:sz w:val="32"/>
          <w:szCs w:val="32"/>
          <w:highlight w:val="none"/>
          <w:u w:val="none"/>
          <w:shd w:val="clear" w:color="auto" w:fill="FFFFFF"/>
          <w:lang w:val="en-US" w:eastAsia="zh-CN"/>
        </w:rPr>
        <w:t>1.目标设置情况</w:t>
      </w:r>
    </w:p>
    <w:p w14:paraId="279C3CAA">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eastAsia="zh-CN"/>
        </w:rPr>
      </w:pPr>
      <w:r>
        <w:rPr>
          <w:rFonts w:hint="eastAsia" w:ascii="仿宋_GB2312" w:hAnsi="仿宋_GB2312" w:eastAsia="仿宋_GB2312" w:cs="仿宋_GB2312"/>
          <w:i w:val="0"/>
          <w:iCs w:val="0"/>
          <w:caps w:val="0"/>
          <w:color w:val="2B2B2B"/>
          <w:spacing w:val="0"/>
          <w:sz w:val="32"/>
          <w:szCs w:val="32"/>
          <w:lang w:val="zh-CN" w:eastAsia="zh-CN"/>
        </w:rPr>
        <w:t>项目具体目标为：突破阿坝州生态资源动态变化规律及分布特征、地理信息精准识别以及与文化旅游间关系特征提取等关键技术3项，形成关于阿坝州生态资源研究与利用方面的调研报告1篇，软件平台Ⅰ套。申请发明专利4项、公开发表论文3篇，国家软件作品登记2件，培养相关人才及团队，开展应用示范不少于2项。项目实施进度具体计划如下：</w:t>
      </w:r>
    </w:p>
    <w:p w14:paraId="1DFE5D58">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eastAsia="zh-CN"/>
        </w:rPr>
      </w:pPr>
      <w:r>
        <w:rPr>
          <w:rFonts w:hint="eastAsia" w:ascii="仿宋_GB2312" w:hAnsi="仿宋_GB2312" w:eastAsia="仿宋_GB2312" w:cs="仿宋_GB2312"/>
          <w:i w:val="0"/>
          <w:iCs w:val="0"/>
          <w:caps w:val="0"/>
          <w:color w:val="2B2B2B"/>
          <w:spacing w:val="0"/>
          <w:sz w:val="32"/>
          <w:szCs w:val="32"/>
          <w:lang w:val="zh-CN" w:eastAsia="zh-CN"/>
        </w:rPr>
        <w:t>（</w:t>
      </w:r>
      <w:r>
        <w:rPr>
          <w:rFonts w:hint="eastAsia" w:ascii="仿宋_GB2312" w:hAnsi="仿宋_GB2312" w:eastAsia="仿宋_GB2312" w:cs="仿宋_GB2312"/>
          <w:i w:val="0"/>
          <w:iCs w:val="0"/>
          <w:caps w:val="0"/>
          <w:color w:val="2B2B2B"/>
          <w:spacing w:val="0"/>
          <w:sz w:val="32"/>
          <w:szCs w:val="32"/>
          <w:lang w:val="en-US" w:eastAsia="zh-CN"/>
        </w:rPr>
        <w:t>1</w:t>
      </w:r>
      <w:r>
        <w:rPr>
          <w:rFonts w:hint="eastAsia" w:ascii="仿宋_GB2312" w:hAnsi="仿宋_GB2312" w:eastAsia="仿宋_GB2312" w:cs="仿宋_GB2312"/>
          <w:i w:val="0"/>
          <w:iCs w:val="0"/>
          <w:caps w:val="0"/>
          <w:color w:val="2B2B2B"/>
          <w:spacing w:val="0"/>
          <w:sz w:val="32"/>
          <w:szCs w:val="32"/>
          <w:lang w:val="zh-CN" w:eastAsia="zh-CN"/>
        </w:rPr>
        <w:t>）2022.01.01—2022.06.30：开展调研和文献查询，完成前期基础理论研究、算法研究和全域生态及文化旅游平台体系构架，设计建设方案。</w:t>
      </w:r>
    </w:p>
    <w:p w14:paraId="245A384D">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eastAsia="zh-CN"/>
        </w:rPr>
      </w:pPr>
      <w:r>
        <w:rPr>
          <w:rFonts w:hint="eastAsia" w:ascii="仿宋_GB2312" w:hAnsi="仿宋_GB2312" w:eastAsia="仿宋_GB2312" w:cs="仿宋_GB2312"/>
          <w:i w:val="0"/>
          <w:iCs w:val="0"/>
          <w:caps w:val="0"/>
          <w:color w:val="2B2B2B"/>
          <w:spacing w:val="0"/>
          <w:sz w:val="32"/>
          <w:szCs w:val="32"/>
          <w:lang w:val="zh-CN" w:eastAsia="zh-CN"/>
        </w:rPr>
        <w:t>（</w:t>
      </w:r>
      <w:r>
        <w:rPr>
          <w:rFonts w:hint="eastAsia" w:ascii="仿宋_GB2312" w:hAnsi="仿宋_GB2312" w:eastAsia="仿宋_GB2312" w:cs="仿宋_GB2312"/>
          <w:i w:val="0"/>
          <w:iCs w:val="0"/>
          <w:caps w:val="0"/>
          <w:color w:val="2B2B2B"/>
          <w:spacing w:val="0"/>
          <w:sz w:val="32"/>
          <w:szCs w:val="32"/>
          <w:lang w:val="en-US" w:eastAsia="zh-CN"/>
        </w:rPr>
        <w:t>2</w:t>
      </w:r>
      <w:r>
        <w:rPr>
          <w:rFonts w:hint="eastAsia" w:ascii="仿宋_GB2312" w:hAnsi="仿宋_GB2312" w:eastAsia="仿宋_GB2312" w:cs="仿宋_GB2312"/>
          <w:i w:val="0"/>
          <w:iCs w:val="0"/>
          <w:caps w:val="0"/>
          <w:color w:val="2B2B2B"/>
          <w:spacing w:val="0"/>
          <w:sz w:val="32"/>
          <w:szCs w:val="32"/>
          <w:lang w:val="zh-CN" w:eastAsia="zh-CN"/>
        </w:rPr>
        <w:t>）2022.07.01—2022.12.31：继续展开空天地资源调查，形成基于3S的阿坝州一线一廊两带六带和“一城三廊四带九区”的资源平台，从阿坝州全域旅游视角研究生态资源支撑文旅资源开发与发展，突破生态资源动态变化规律及分布关键技术 1个，申请发明专利2项，发表论文1篇，软件作品登记1项。</w:t>
      </w:r>
    </w:p>
    <w:p w14:paraId="67DCB00A">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eastAsia="zh-CN"/>
        </w:rPr>
      </w:pPr>
      <w:r>
        <w:rPr>
          <w:rFonts w:hint="eastAsia" w:ascii="仿宋_GB2312" w:hAnsi="仿宋_GB2312" w:eastAsia="仿宋_GB2312" w:cs="仿宋_GB2312"/>
          <w:i w:val="0"/>
          <w:iCs w:val="0"/>
          <w:caps w:val="0"/>
          <w:color w:val="2B2B2B"/>
          <w:spacing w:val="0"/>
          <w:sz w:val="32"/>
          <w:szCs w:val="32"/>
          <w:lang w:val="zh-CN" w:eastAsia="zh-CN"/>
        </w:rPr>
        <w:t>（</w:t>
      </w:r>
      <w:r>
        <w:rPr>
          <w:rFonts w:hint="eastAsia" w:ascii="仿宋_GB2312" w:hAnsi="仿宋_GB2312" w:eastAsia="仿宋_GB2312" w:cs="仿宋_GB2312"/>
          <w:i w:val="0"/>
          <w:iCs w:val="0"/>
          <w:caps w:val="0"/>
          <w:color w:val="2B2B2B"/>
          <w:spacing w:val="0"/>
          <w:sz w:val="32"/>
          <w:szCs w:val="32"/>
          <w:lang w:val="en-US" w:eastAsia="zh-CN"/>
        </w:rPr>
        <w:t>3</w:t>
      </w:r>
      <w:r>
        <w:rPr>
          <w:rFonts w:hint="eastAsia" w:ascii="仿宋_GB2312" w:hAnsi="仿宋_GB2312" w:eastAsia="仿宋_GB2312" w:cs="仿宋_GB2312"/>
          <w:i w:val="0"/>
          <w:iCs w:val="0"/>
          <w:caps w:val="0"/>
          <w:color w:val="2B2B2B"/>
          <w:spacing w:val="0"/>
          <w:sz w:val="32"/>
          <w:szCs w:val="32"/>
          <w:lang w:val="zh-CN" w:eastAsia="zh-CN"/>
        </w:rPr>
        <w:t>）2023.01.01—2023.06.30：围绕阿坝州“一线一廊两带六带”和“一城三廊四带九区”，进行高分遥感数据进行解析和分析，按生态资源分类和文化旅游发展分类提取特征，并开发3S生态资源平台，突破地理信息精准识别和生态资源与文化旅游特征提取关键技术2个，申请发明专利3件，发论文2篇，软件作品登记1项。</w:t>
      </w:r>
    </w:p>
    <w:p w14:paraId="0CB0C8EC">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zh-CN" w:eastAsia="zh-CN"/>
        </w:rPr>
      </w:pPr>
      <w:r>
        <w:rPr>
          <w:rFonts w:hint="eastAsia" w:ascii="仿宋_GB2312" w:hAnsi="仿宋_GB2312" w:eastAsia="仿宋_GB2312" w:cs="仿宋_GB2312"/>
          <w:i w:val="0"/>
          <w:iCs w:val="0"/>
          <w:caps w:val="0"/>
          <w:color w:val="2B2B2B"/>
          <w:spacing w:val="0"/>
          <w:sz w:val="32"/>
          <w:szCs w:val="32"/>
          <w:lang w:val="zh-CN" w:eastAsia="zh-CN"/>
        </w:rPr>
        <w:t>（</w:t>
      </w:r>
      <w:r>
        <w:rPr>
          <w:rFonts w:hint="eastAsia" w:ascii="仿宋_GB2312" w:hAnsi="仿宋_GB2312" w:eastAsia="仿宋_GB2312" w:cs="仿宋_GB2312"/>
          <w:i w:val="0"/>
          <w:iCs w:val="0"/>
          <w:caps w:val="0"/>
          <w:color w:val="2B2B2B"/>
          <w:spacing w:val="0"/>
          <w:sz w:val="32"/>
          <w:szCs w:val="32"/>
          <w:lang w:val="en-US" w:eastAsia="zh-CN"/>
        </w:rPr>
        <w:t>4</w:t>
      </w:r>
      <w:r>
        <w:rPr>
          <w:rFonts w:hint="eastAsia" w:ascii="仿宋_GB2312" w:hAnsi="仿宋_GB2312" w:eastAsia="仿宋_GB2312" w:cs="仿宋_GB2312"/>
          <w:i w:val="0"/>
          <w:iCs w:val="0"/>
          <w:caps w:val="0"/>
          <w:color w:val="2B2B2B"/>
          <w:spacing w:val="0"/>
          <w:sz w:val="32"/>
          <w:szCs w:val="32"/>
          <w:lang w:val="zh-CN" w:eastAsia="zh-CN"/>
        </w:rPr>
        <w:t>）2023.07.01—2023.12.31：继续开发3S生态资源平台并进行测试部署，撰写阿坝州生态资源与利用的调研报告，在达古和黄龙区域进行示范，用于支撑全域旅游开发，准备结题验收。</w:t>
      </w:r>
    </w:p>
    <w:p w14:paraId="52FE154D">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right="0"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cs="仿宋_GB2312"/>
          <w:b/>
          <w:bCs/>
          <w:i w:val="0"/>
          <w:iCs w:val="0"/>
          <w:caps w:val="0"/>
          <w:color w:val="333333"/>
          <w:spacing w:val="0"/>
          <w:sz w:val="32"/>
          <w:szCs w:val="32"/>
          <w:shd w:val="clear" w:fill="FFFFFF"/>
          <w:lang w:val="en-US" w:eastAsia="zh-CN"/>
        </w:rPr>
        <w:t>2.</w:t>
      </w:r>
      <w:r>
        <w:rPr>
          <w:rFonts w:hint="eastAsia" w:ascii="仿宋_GB2312" w:hAnsi="仿宋_GB2312" w:eastAsia="仿宋_GB2312" w:cs="仿宋_GB2312"/>
          <w:b/>
          <w:bCs/>
          <w:sz w:val="32"/>
          <w:szCs w:val="32"/>
          <w:lang w:val="en-US" w:eastAsia="zh-CN"/>
        </w:rPr>
        <w:t>项目自评工作开展情况</w:t>
      </w:r>
    </w:p>
    <w:p w14:paraId="32797EF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640" w:firstLineChars="200"/>
        <w:jc w:val="both"/>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i w:val="0"/>
          <w:iCs w:val="0"/>
          <w:caps w:val="0"/>
          <w:color w:val="333333"/>
          <w:spacing w:val="0"/>
          <w:sz w:val="32"/>
          <w:szCs w:val="32"/>
          <w:shd w:val="clear" w:fill="FFFFFF"/>
          <w:lang w:val="en-US" w:eastAsia="zh-CN"/>
        </w:rPr>
        <w:t>管理局</w:t>
      </w:r>
      <w:r>
        <w:rPr>
          <w:rFonts w:hint="eastAsia" w:ascii="仿宋_GB2312" w:hAnsi="仿宋_GB2312" w:eastAsia="仿宋_GB2312" w:cs="仿宋_GB2312"/>
          <w:i w:val="0"/>
          <w:iCs w:val="0"/>
          <w:caps w:val="0"/>
          <w:color w:val="333333"/>
          <w:spacing w:val="0"/>
          <w:sz w:val="32"/>
          <w:szCs w:val="32"/>
          <w:shd w:val="clear" w:fill="FFFFFF"/>
        </w:rPr>
        <w:t>通过项目自评</w:t>
      </w:r>
      <w:r>
        <w:rPr>
          <w:rFonts w:hint="eastAsia" w:ascii="仿宋_GB2312" w:hAnsi="仿宋_GB2312" w:eastAsia="仿宋_GB2312" w:cs="仿宋_GB2312"/>
          <w:i w:val="0"/>
          <w:iCs w:val="0"/>
          <w:caps w:val="0"/>
          <w:color w:val="333333"/>
          <w:spacing w:val="0"/>
          <w:sz w:val="32"/>
          <w:szCs w:val="32"/>
          <w:shd w:val="clear" w:fill="FFFFFF"/>
          <w:lang w:val="en-US" w:eastAsia="zh-CN"/>
        </w:rPr>
        <w:t>的方式</w:t>
      </w:r>
      <w:r>
        <w:rPr>
          <w:rFonts w:hint="eastAsia" w:ascii="仿宋_GB2312" w:hAnsi="仿宋_GB2312" w:eastAsia="仿宋_GB2312" w:cs="仿宋_GB2312"/>
          <w:i w:val="0"/>
          <w:iCs w:val="0"/>
          <w:caps w:val="0"/>
          <w:color w:val="333333"/>
          <w:spacing w:val="0"/>
          <w:sz w:val="32"/>
          <w:szCs w:val="32"/>
          <w:shd w:val="clear" w:fill="FFFFFF"/>
        </w:rPr>
        <w:t>，</w:t>
      </w:r>
      <w:r>
        <w:rPr>
          <w:rFonts w:hint="eastAsia" w:ascii="仿宋_GB2312" w:hAnsi="仿宋_GB2312" w:eastAsia="仿宋_GB2312" w:cs="仿宋_GB2312"/>
          <w:sz w:val="32"/>
          <w:szCs w:val="32"/>
          <w:lang w:val="en-US" w:eastAsia="zh-CN"/>
        </w:rPr>
        <w:t>认真研读和解析绩效管理文件的精神和要求，</w:t>
      </w:r>
      <w:r>
        <w:rPr>
          <w:rFonts w:hint="eastAsia" w:ascii="仿宋_GB2312" w:hAnsi="仿宋_GB2312" w:eastAsia="仿宋_GB2312" w:cs="仿宋_GB2312"/>
          <w:i w:val="0"/>
          <w:iCs w:val="0"/>
          <w:caps w:val="0"/>
          <w:color w:val="333333"/>
          <w:spacing w:val="0"/>
          <w:sz w:val="32"/>
          <w:szCs w:val="32"/>
          <w:shd w:val="clear" w:fill="FFFFFF"/>
        </w:rPr>
        <w:t>收集相关资料</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听取情况介绍</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定量和定性分析，形成报告。</w:t>
      </w:r>
      <w:r>
        <w:rPr>
          <w:rFonts w:hint="eastAsia" w:ascii="仿宋_GB2312" w:hAnsi="仿宋_GB2312" w:eastAsia="仿宋_GB2312" w:cs="仿宋_GB2312"/>
          <w:sz w:val="32"/>
          <w:szCs w:val="32"/>
          <w:lang w:val="en-US" w:eastAsia="zh-CN"/>
        </w:rPr>
        <w:t>对项目实施进度、质量、安全等进行有效监督，总结发现好的经验和做法，找出存在的不足和问题，提出改进措施，不断加强专项资金的管理，充分发挥专项资金的使用效益。</w:t>
      </w:r>
    </w:p>
    <w:p w14:paraId="6AFF6C84">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firstLine="640" w:firstLineChars="200"/>
        <w:textAlignment w:val="auto"/>
        <w:outlineLvl w:val="9"/>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rPr>
        <w:t>二、</w:t>
      </w:r>
      <w:r>
        <w:rPr>
          <w:rFonts w:hint="eastAsia" w:ascii="黑体" w:hAnsi="黑体" w:eastAsia="黑体" w:cs="黑体"/>
          <w:sz w:val="32"/>
          <w:szCs w:val="32"/>
          <w:highlight w:val="none"/>
          <w:lang w:eastAsia="zh-CN"/>
        </w:rPr>
        <w:t>评价实施</w:t>
      </w:r>
    </w:p>
    <w:p w14:paraId="1347BB23">
      <w:pPr>
        <w:keepNext w:val="0"/>
        <w:keepLines w:val="0"/>
        <w:pageBreakBefore w:val="0"/>
        <w:widowControl w:val="0"/>
        <w:kinsoku/>
        <w:wordWrap/>
        <w:overflowPunct/>
        <w:topLinePunct w:val="0"/>
        <w:autoSpaceDE/>
        <w:autoSpaceDN/>
        <w:bidi w:val="0"/>
        <w:spacing w:line="440" w:lineRule="exact"/>
        <w:ind w:left="0" w:leftChars="0" w:right="0" w:firstLine="672" w:firstLineChars="200"/>
        <w:textAlignment w:val="auto"/>
        <w:outlineLvl w:val="9"/>
        <w:rPr>
          <w:rFonts w:hint="eastAsia" w:ascii="仿宋_GB2312" w:hAnsi="仿宋_GB2312" w:eastAsia="仿宋_GB2312" w:cs="仿宋_GB2312"/>
          <w:i w:val="0"/>
          <w:iCs w:val="0"/>
          <w:caps w:val="0"/>
          <w:color w:val="333333"/>
          <w:spacing w:val="0"/>
          <w:sz w:val="32"/>
          <w:szCs w:val="32"/>
        </w:rPr>
      </w:pPr>
      <w:r>
        <w:rPr>
          <w:rFonts w:hint="eastAsia" w:ascii="仿宋_GB2312" w:hAnsi="仿宋_GB2312" w:eastAsia="仿宋_GB2312" w:cs="仿宋_GB2312"/>
          <w:i w:val="0"/>
          <w:iCs w:val="0"/>
          <w:caps w:val="0"/>
          <w:spacing w:val="8"/>
          <w:sz w:val="32"/>
          <w:szCs w:val="32"/>
          <w:shd w:val="clear" w:fill="FFFFFF"/>
        </w:rPr>
        <w:t>本次绩效评价的目的是提高支出效率，客观公正地核查项目资金预期目标实现程度，改进和加强财政专项资金管理，不断提高资金管理水平和使用效益。</w:t>
      </w:r>
      <w:r>
        <w:rPr>
          <w:rFonts w:hint="eastAsia" w:ascii="仿宋_GB2312" w:hAnsi="仿宋_GB2312" w:eastAsia="仿宋_GB2312" w:cs="仿宋_GB2312"/>
          <w:i w:val="0"/>
          <w:iCs w:val="0"/>
          <w:caps w:val="0"/>
          <w:color w:val="333333"/>
          <w:spacing w:val="0"/>
          <w:sz w:val="32"/>
          <w:szCs w:val="32"/>
          <w:shd w:val="clear" w:fill="FFFFFF"/>
        </w:rPr>
        <w:t>绩效评价</w:t>
      </w:r>
      <w:r>
        <w:rPr>
          <w:rFonts w:hint="eastAsia" w:ascii="仿宋_GB2312" w:hAnsi="仿宋_GB2312" w:cs="仿宋_GB2312"/>
          <w:i w:val="0"/>
          <w:iCs w:val="0"/>
          <w:caps w:val="0"/>
          <w:color w:val="333333"/>
          <w:spacing w:val="0"/>
          <w:sz w:val="32"/>
          <w:szCs w:val="32"/>
          <w:shd w:val="clear" w:fill="FFFFFF"/>
          <w:lang w:eastAsia="zh-CN"/>
        </w:rPr>
        <w:t>工作</w:t>
      </w:r>
      <w:r>
        <w:rPr>
          <w:rFonts w:hint="eastAsia" w:ascii="仿宋_GB2312" w:hAnsi="仿宋_GB2312" w:eastAsia="仿宋_GB2312" w:cs="仿宋_GB2312"/>
          <w:i w:val="0"/>
          <w:iCs w:val="0"/>
          <w:caps w:val="0"/>
          <w:color w:val="333333"/>
          <w:spacing w:val="0"/>
          <w:sz w:val="32"/>
          <w:szCs w:val="32"/>
          <w:shd w:val="clear" w:fill="FFFFFF"/>
        </w:rPr>
        <w:t>坚持社会效益原则、合规性原则、重要性原则</w:t>
      </w:r>
      <w:r>
        <w:rPr>
          <w:rFonts w:hint="eastAsia" w:ascii="仿宋_GB2312" w:hAnsi="仿宋_GB2312" w:eastAsia="仿宋_GB2312" w:cs="仿宋_GB2312"/>
          <w:i w:val="0"/>
          <w:iCs w:val="0"/>
          <w:caps w:val="0"/>
          <w:color w:val="333333"/>
          <w:spacing w:val="0"/>
          <w:sz w:val="32"/>
          <w:szCs w:val="32"/>
          <w:shd w:val="clear" w:fill="FFFFFF"/>
          <w:lang w:eastAsia="zh-CN"/>
        </w:rPr>
        <w:t>，</w:t>
      </w:r>
      <w:r>
        <w:rPr>
          <w:rFonts w:hint="eastAsia" w:ascii="仿宋_GB2312" w:hAnsi="仿宋_GB2312" w:eastAsia="仿宋_GB2312" w:cs="仿宋_GB2312"/>
          <w:i w:val="0"/>
          <w:iCs w:val="0"/>
          <w:caps w:val="0"/>
          <w:color w:val="333333"/>
          <w:spacing w:val="0"/>
          <w:sz w:val="32"/>
          <w:szCs w:val="32"/>
          <w:shd w:val="clear" w:fill="FFFFFF"/>
        </w:rPr>
        <w:t>具体实施步骤如下：</w:t>
      </w:r>
    </w:p>
    <w:p w14:paraId="7E491B6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560"/>
        <w:jc w:val="both"/>
        <w:textAlignment w:val="auto"/>
        <w:rPr>
          <w:rFonts w:hint="eastAsia" w:ascii="仿宋_GB2312" w:hAnsi="仿宋_GB2312" w:eastAsia="仿宋_GB2312" w:cs="仿宋_GB2312"/>
          <w:b/>
          <w:bCs/>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1.</w:t>
      </w:r>
      <w:r>
        <w:rPr>
          <w:rFonts w:hint="eastAsia" w:ascii="仿宋_GB2312" w:hAnsi="仿宋_GB2312" w:eastAsia="仿宋_GB2312" w:cs="仿宋_GB2312"/>
          <w:b/>
          <w:bCs/>
          <w:i w:val="0"/>
          <w:iCs w:val="0"/>
          <w:caps w:val="0"/>
          <w:color w:val="333333"/>
          <w:spacing w:val="0"/>
          <w:sz w:val="32"/>
          <w:szCs w:val="32"/>
          <w:shd w:val="clear" w:fill="FFFFFF"/>
        </w:rPr>
        <w:t>成立绩效评价工作小组</w:t>
      </w:r>
    </w:p>
    <w:p w14:paraId="1B068F12">
      <w:pPr>
        <w:keepNext w:val="0"/>
        <w:keepLines w:val="0"/>
        <w:pageBreakBefore w:val="0"/>
        <w:kinsoku/>
        <w:wordWrap/>
        <w:overflowPunct/>
        <w:topLinePunct w:val="0"/>
        <w:autoSpaceDE/>
        <w:autoSpaceDN/>
        <w:bidi w:val="0"/>
        <w:adjustRightInd w:val="0"/>
        <w:snapToGrid w:val="0"/>
        <w:spacing w:line="4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w:t>
      </w:r>
      <w:r>
        <w:rPr>
          <w:rFonts w:hint="eastAsia" w:ascii="仿宋_GB2312" w:hAnsi="仿宋_GB2312" w:eastAsia="仿宋_GB2312" w:cs="仿宋_GB2312"/>
          <w:sz w:val="32"/>
          <w:szCs w:val="32"/>
          <w:lang w:val="en-US" w:eastAsia="zh-CN"/>
        </w:rPr>
        <w:t>该项目资金分配使用严格按照程序执行，管理局</w:t>
      </w:r>
      <w:r>
        <w:rPr>
          <w:rFonts w:hint="eastAsia" w:ascii="仿宋_GB2312" w:hAnsi="仿宋_GB2312" w:eastAsia="仿宋_GB2312" w:cs="仿宋_GB2312"/>
          <w:sz w:val="32"/>
          <w:szCs w:val="32"/>
        </w:rPr>
        <w:t>设立</w:t>
      </w:r>
      <w:r>
        <w:rPr>
          <w:rFonts w:hint="eastAsia" w:ascii="仿宋_GB2312" w:hAnsi="仿宋_GB2312" w:eastAsia="仿宋_GB2312" w:cs="仿宋_GB2312"/>
          <w:sz w:val="32"/>
          <w:szCs w:val="32"/>
          <w:lang w:val="en-US" w:eastAsia="zh-CN"/>
        </w:rPr>
        <w:t>由分管科研项目领导任组长，各相关处室负责人为副组长，</w:t>
      </w:r>
      <w:r>
        <w:rPr>
          <w:rFonts w:hint="eastAsia" w:ascii="仿宋_GB2312" w:hAnsi="仿宋_GB2312" w:eastAsia="仿宋_GB2312" w:cs="仿宋_GB2312"/>
          <w:i w:val="0"/>
          <w:iCs w:val="0"/>
          <w:caps w:val="0"/>
          <w:color w:val="333333"/>
          <w:spacing w:val="0"/>
          <w:sz w:val="32"/>
          <w:szCs w:val="32"/>
          <w:shd w:val="clear" w:fill="FFFFFF"/>
          <w:lang w:val="en-US" w:eastAsia="zh-CN"/>
        </w:rPr>
        <w:t>高级</w:t>
      </w:r>
      <w:r>
        <w:rPr>
          <w:rFonts w:hint="eastAsia" w:ascii="仿宋_GB2312" w:hAnsi="仿宋_GB2312" w:eastAsia="仿宋_GB2312" w:cs="仿宋_GB2312"/>
          <w:i w:val="0"/>
          <w:iCs w:val="0"/>
          <w:caps w:val="0"/>
          <w:color w:val="333333"/>
          <w:spacing w:val="0"/>
          <w:sz w:val="32"/>
          <w:szCs w:val="32"/>
          <w:shd w:val="clear" w:fill="FFFFFF"/>
        </w:rPr>
        <w:t>会计师、经济师、统计师</w:t>
      </w:r>
      <w:r>
        <w:rPr>
          <w:rFonts w:hint="eastAsia" w:ascii="仿宋_GB2312" w:hAnsi="仿宋_GB2312" w:eastAsia="仿宋_GB2312" w:cs="仿宋_GB2312"/>
          <w:sz w:val="32"/>
          <w:szCs w:val="32"/>
          <w:lang w:val="en-US" w:eastAsia="zh-CN"/>
        </w:rPr>
        <w:t>等为成员的专项预算项目绩效评价</w:t>
      </w:r>
      <w:r>
        <w:rPr>
          <w:rFonts w:hint="eastAsia" w:ascii="仿宋_GB2312" w:hAnsi="仿宋_GB2312" w:eastAsia="仿宋_GB2312" w:cs="仿宋_GB2312"/>
          <w:sz w:val="32"/>
          <w:szCs w:val="32"/>
        </w:rPr>
        <w:t>工作领导小组</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具体</w:t>
      </w:r>
      <w:r>
        <w:rPr>
          <w:rFonts w:hint="eastAsia" w:ascii="仿宋_GB2312" w:hAnsi="仿宋_GB2312" w:eastAsia="仿宋_GB2312" w:cs="仿宋_GB2312"/>
          <w:sz w:val="32"/>
          <w:szCs w:val="32"/>
        </w:rPr>
        <w:t>负责</w:t>
      </w:r>
      <w:r>
        <w:rPr>
          <w:rFonts w:hint="eastAsia" w:ascii="仿宋_GB2312" w:hAnsi="仿宋_GB2312" w:eastAsia="仿宋_GB2312" w:cs="仿宋_GB2312"/>
          <w:sz w:val="32"/>
          <w:szCs w:val="32"/>
          <w:lang w:val="en-US" w:eastAsia="zh-CN"/>
        </w:rPr>
        <w:t>项目</w:t>
      </w:r>
      <w:r>
        <w:rPr>
          <w:rFonts w:hint="eastAsia" w:ascii="仿宋_GB2312" w:hAnsi="仿宋_GB2312" w:eastAsia="仿宋_GB2312" w:cs="仿宋_GB2312"/>
          <w:sz w:val="32"/>
          <w:szCs w:val="32"/>
        </w:rPr>
        <w:t>统筹协调和</w:t>
      </w:r>
      <w:r>
        <w:rPr>
          <w:rFonts w:hint="eastAsia" w:ascii="仿宋_GB2312" w:hAnsi="仿宋_GB2312" w:eastAsia="仿宋_GB2312" w:cs="仿宋_GB2312"/>
          <w:sz w:val="32"/>
          <w:szCs w:val="32"/>
          <w:lang w:val="en-US" w:eastAsia="zh-CN"/>
        </w:rPr>
        <w:t>资金分配使用</w:t>
      </w:r>
      <w:r>
        <w:rPr>
          <w:rFonts w:hint="eastAsia" w:ascii="仿宋_GB2312" w:hAnsi="仿宋_GB2312" w:eastAsia="仿宋_GB2312" w:cs="仿宋_GB2312"/>
          <w:sz w:val="32"/>
          <w:szCs w:val="32"/>
        </w:rPr>
        <w:t>工作。</w:t>
      </w:r>
    </w:p>
    <w:p w14:paraId="44C7507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560"/>
        <w:jc w:val="both"/>
        <w:textAlignment w:val="auto"/>
        <w:rPr>
          <w:rFonts w:hint="eastAsia" w:ascii="仿宋_GB2312" w:hAnsi="仿宋_GB2312" w:eastAsia="仿宋_GB2312" w:cs="仿宋_GB2312"/>
          <w:b/>
          <w:bCs/>
          <w:i w:val="0"/>
          <w:iCs w:val="0"/>
          <w:caps w:val="0"/>
          <w:color w:val="333333"/>
          <w:spacing w:val="0"/>
          <w:sz w:val="32"/>
          <w:szCs w:val="32"/>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2.</w:t>
      </w:r>
      <w:r>
        <w:rPr>
          <w:rFonts w:hint="eastAsia" w:ascii="仿宋_GB2312" w:hAnsi="仿宋_GB2312" w:eastAsia="仿宋_GB2312" w:cs="仿宋_GB2312"/>
          <w:b/>
          <w:bCs/>
          <w:i w:val="0"/>
          <w:iCs w:val="0"/>
          <w:caps w:val="0"/>
          <w:color w:val="333333"/>
          <w:spacing w:val="0"/>
          <w:sz w:val="32"/>
          <w:szCs w:val="32"/>
          <w:shd w:val="clear" w:fill="FFFFFF"/>
        </w:rPr>
        <w:t>对自评材料进行全面评审</w:t>
      </w:r>
    </w:p>
    <w:p w14:paraId="2D2701F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firstLine="560"/>
        <w:jc w:val="both"/>
        <w:textAlignment w:val="auto"/>
        <w:rPr>
          <w:rFonts w:hint="eastAsia" w:ascii="仿宋_GB2312" w:hAnsi="仿宋_GB2312" w:eastAsia="仿宋_GB2312" w:cs="仿宋_GB2312"/>
          <w:i w:val="0"/>
          <w:iCs w:val="0"/>
          <w:caps w:val="0"/>
          <w:color w:val="333333"/>
          <w:spacing w:val="0"/>
          <w:sz w:val="32"/>
          <w:szCs w:val="32"/>
          <w:shd w:val="clear" w:fill="FFFFFF"/>
        </w:rPr>
      </w:pPr>
      <w:r>
        <w:rPr>
          <w:rFonts w:hint="eastAsia" w:ascii="仿宋_GB2312" w:hAnsi="仿宋_GB2312" w:eastAsia="仿宋_GB2312" w:cs="仿宋_GB2312"/>
          <w:i w:val="0"/>
          <w:iCs w:val="0"/>
          <w:caps w:val="0"/>
          <w:color w:val="333333"/>
          <w:spacing w:val="0"/>
          <w:sz w:val="32"/>
          <w:szCs w:val="32"/>
          <w:shd w:val="clear" w:fill="FFFFFF"/>
        </w:rPr>
        <w:t>绩效评价小组成员对项目的</w:t>
      </w:r>
      <w:r>
        <w:rPr>
          <w:rFonts w:hint="eastAsia" w:ascii="仿宋_GB2312" w:hAnsi="仿宋_GB2312" w:eastAsia="仿宋_GB2312" w:cs="仿宋_GB2312"/>
          <w:i w:val="0"/>
          <w:iCs w:val="0"/>
          <w:caps w:val="0"/>
          <w:color w:val="333333"/>
          <w:spacing w:val="0"/>
          <w:sz w:val="32"/>
          <w:szCs w:val="32"/>
          <w:shd w:val="clear" w:fill="FFFFFF"/>
          <w:lang w:val="en-US" w:eastAsia="zh-CN"/>
        </w:rPr>
        <w:t>方案、报价单、相关资质、</w:t>
      </w:r>
      <w:r>
        <w:rPr>
          <w:rFonts w:hint="eastAsia" w:ascii="仿宋_GB2312" w:hAnsi="仿宋_GB2312" w:eastAsia="仿宋_GB2312" w:cs="仿宋_GB2312"/>
          <w:i w:val="0"/>
          <w:iCs w:val="0"/>
          <w:caps w:val="0"/>
          <w:color w:val="333333"/>
          <w:spacing w:val="0"/>
          <w:sz w:val="32"/>
          <w:szCs w:val="32"/>
          <w:shd w:val="clear" w:fill="FFFFFF"/>
        </w:rPr>
        <w:t>合同、</w:t>
      </w:r>
      <w:r>
        <w:rPr>
          <w:rFonts w:hint="eastAsia" w:ascii="仿宋_GB2312" w:hAnsi="仿宋_GB2312" w:eastAsia="仿宋_GB2312" w:cs="仿宋_GB2312"/>
          <w:i w:val="0"/>
          <w:iCs w:val="0"/>
          <w:caps w:val="0"/>
          <w:color w:val="333333"/>
          <w:spacing w:val="0"/>
          <w:sz w:val="32"/>
          <w:szCs w:val="32"/>
          <w:shd w:val="clear" w:fill="FFFFFF"/>
          <w:lang w:val="en-US" w:eastAsia="zh-CN"/>
        </w:rPr>
        <w:t>资金使用情况、项目</w:t>
      </w:r>
      <w:r>
        <w:rPr>
          <w:rFonts w:hint="eastAsia" w:ascii="仿宋_GB2312" w:hAnsi="仿宋_GB2312" w:eastAsia="仿宋_GB2312" w:cs="仿宋_GB2312"/>
          <w:i w:val="0"/>
          <w:iCs w:val="0"/>
          <w:caps w:val="0"/>
          <w:color w:val="333333"/>
          <w:spacing w:val="0"/>
          <w:sz w:val="32"/>
          <w:szCs w:val="32"/>
          <w:shd w:val="clear" w:fill="FFFFFF"/>
        </w:rPr>
        <w:t>支付凭证等自评材料进行真实性、完整性评审，为开展现场核查与综合评价提供参考。</w:t>
      </w:r>
    </w:p>
    <w:p w14:paraId="0EB7442C">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spacing w:before="0" w:beforeAutospacing="0" w:after="0" w:afterAutospacing="0" w:line="440" w:lineRule="exact"/>
        <w:ind w:left="0" w:right="0" w:rightChars="0" w:firstLine="643" w:firstLineChars="200"/>
        <w:jc w:val="both"/>
        <w:textAlignment w:val="auto"/>
        <w:rPr>
          <w:rFonts w:hint="eastAsia" w:ascii="仿宋_GB2312" w:hAnsi="仿宋_GB2312" w:eastAsia="仿宋_GB2312" w:cs="仿宋_GB2312"/>
          <w:b/>
          <w:bCs/>
          <w:i w:val="0"/>
          <w:iCs w:val="0"/>
          <w:caps w:val="0"/>
          <w:color w:val="333333"/>
          <w:spacing w:val="0"/>
          <w:sz w:val="32"/>
          <w:szCs w:val="32"/>
          <w:shd w:val="clear" w:fill="FFFFFF"/>
          <w:lang w:val="en-US" w:eastAsia="zh-CN"/>
        </w:rPr>
      </w:pPr>
      <w:r>
        <w:rPr>
          <w:rFonts w:hint="eastAsia" w:ascii="仿宋_GB2312" w:hAnsi="仿宋_GB2312" w:eastAsia="仿宋_GB2312" w:cs="仿宋_GB2312"/>
          <w:b/>
          <w:bCs/>
          <w:i w:val="0"/>
          <w:iCs w:val="0"/>
          <w:caps w:val="0"/>
          <w:color w:val="333333"/>
          <w:spacing w:val="0"/>
          <w:sz w:val="32"/>
          <w:szCs w:val="32"/>
          <w:shd w:val="clear" w:fill="FFFFFF"/>
          <w:lang w:val="en-US" w:eastAsia="zh-CN"/>
        </w:rPr>
        <w:t>3.评价方法</w:t>
      </w:r>
    </w:p>
    <w:p w14:paraId="1165DCAD">
      <w:pPr>
        <w:keepNext w:val="0"/>
        <w:keepLines w:val="0"/>
        <w:pageBreakBefore w:val="0"/>
        <w:widowControl w:val="0"/>
        <w:kinsoku/>
        <w:wordWrap/>
        <w:overflowPunct/>
        <w:topLinePunct w:val="0"/>
        <w:autoSpaceDE/>
        <w:autoSpaceDN/>
        <w:bidi w:val="0"/>
        <w:spacing w:line="440" w:lineRule="exact"/>
        <w:ind w:left="0" w:leftChars="0" w:right="0" w:firstLine="64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iCs w:val="0"/>
          <w:caps w:val="0"/>
          <w:color w:val="333333"/>
          <w:spacing w:val="0"/>
          <w:sz w:val="32"/>
          <w:szCs w:val="32"/>
          <w:shd w:val="clear" w:fill="FFFFFF"/>
          <w:lang w:val="en-US" w:eastAsia="zh-CN"/>
        </w:rPr>
        <w:t>管理局</w:t>
      </w:r>
      <w:r>
        <w:rPr>
          <w:rFonts w:hint="eastAsia" w:ascii="仿宋_GB2312" w:hAnsi="仿宋_GB2312" w:eastAsia="仿宋_GB2312" w:cs="仿宋_GB2312"/>
          <w:i w:val="0"/>
          <w:iCs w:val="0"/>
          <w:caps w:val="0"/>
          <w:color w:val="333333"/>
          <w:spacing w:val="0"/>
          <w:sz w:val="32"/>
          <w:szCs w:val="32"/>
          <w:shd w:val="clear" w:fill="FFFFFF"/>
        </w:rPr>
        <w:t>绩效评价工作小组</w:t>
      </w:r>
      <w:r>
        <w:rPr>
          <w:rFonts w:hint="eastAsia" w:ascii="仿宋_GB2312" w:hAnsi="仿宋_GB2312" w:eastAsia="仿宋_GB2312" w:cs="仿宋_GB2312"/>
          <w:i w:val="0"/>
          <w:iCs w:val="0"/>
          <w:caps w:val="0"/>
          <w:color w:val="333333"/>
          <w:spacing w:val="0"/>
          <w:sz w:val="32"/>
          <w:szCs w:val="32"/>
          <w:shd w:val="clear" w:fill="FFFFFF"/>
          <w:lang w:val="en-US" w:eastAsia="zh-CN"/>
        </w:rPr>
        <w:t>对该项目开展单位自评法</w:t>
      </w:r>
      <w:r>
        <w:rPr>
          <w:rFonts w:hint="eastAsia" w:ascii="仿宋_GB2312" w:hAnsi="仿宋_GB2312" w:eastAsia="仿宋_GB2312" w:cs="仿宋_GB2312"/>
          <w:i w:val="0"/>
          <w:iCs w:val="0"/>
          <w:caps w:val="0"/>
          <w:color w:val="333333"/>
          <w:spacing w:val="0"/>
          <w:sz w:val="32"/>
          <w:szCs w:val="32"/>
          <w:shd w:val="clear" w:fill="FFFFFF"/>
        </w:rPr>
        <w:t>现场评价。现场评价中了解项目单位的基本情况，核查财政资金使用和管理、财务账目等情况。</w:t>
      </w:r>
    </w:p>
    <w:p w14:paraId="65447AFF">
      <w:pPr>
        <w:keepNext w:val="0"/>
        <w:keepLines w:val="0"/>
        <w:pageBreakBefore w:val="0"/>
        <w:kinsoku/>
        <w:wordWrap/>
        <w:overflowPunct/>
        <w:topLinePunct w:val="0"/>
        <w:autoSpaceDE/>
        <w:autoSpaceDN/>
        <w:bidi w:val="0"/>
        <w:adjustRightInd w:val="0"/>
        <w:snapToGrid w:val="0"/>
        <w:spacing w:line="440" w:lineRule="exact"/>
        <w:ind w:left="0" w:leftChars="0" w:right="0" w:firstLine="640" w:firstLineChars="200"/>
        <w:textAlignment w:val="auto"/>
        <w:rPr>
          <w:rFonts w:hint="eastAsia" w:ascii="黑体" w:hAnsi="黑体" w:eastAsia="黑体" w:cs="黑体"/>
          <w:color w:val="auto"/>
          <w:sz w:val="32"/>
          <w:szCs w:val="32"/>
          <w:highlight w:val="none"/>
          <w:u w:val="none"/>
          <w:lang w:val="en-US" w:eastAsia="zh-CN"/>
        </w:rPr>
      </w:pPr>
      <w:r>
        <w:rPr>
          <w:rFonts w:hint="eastAsia" w:ascii="黑体" w:hAnsi="黑体" w:eastAsia="黑体" w:cs="黑体"/>
          <w:color w:val="auto"/>
          <w:sz w:val="32"/>
          <w:szCs w:val="32"/>
          <w:highlight w:val="none"/>
          <w:u w:val="none"/>
        </w:rPr>
        <w:t>三、</w:t>
      </w:r>
      <w:r>
        <w:rPr>
          <w:rFonts w:hint="eastAsia" w:ascii="黑体" w:hAnsi="黑体" w:eastAsia="黑体" w:cs="黑体"/>
          <w:color w:val="auto"/>
          <w:sz w:val="32"/>
          <w:szCs w:val="32"/>
          <w:highlight w:val="none"/>
          <w:u w:val="none"/>
          <w:lang w:eastAsia="zh-CN"/>
        </w:rPr>
        <w:t>绩效分析</w:t>
      </w:r>
      <w:r>
        <w:rPr>
          <w:rFonts w:hint="eastAsia" w:ascii="黑体" w:hAnsi="黑体" w:eastAsia="黑体" w:cs="黑体"/>
          <w:color w:val="auto"/>
          <w:sz w:val="32"/>
          <w:szCs w:val="32"/>
          <w:highlight w:val="none"/>
          <w:u w:val="none"/>
          <w:lang w:val="zh-CN"/>
        </w:rPr>
        <w:tab/>
      </w:r>
    </w:p>
    <w:p w14:paraId="1FE69C4D">
      <w:pPr>
        <w:keepNext w:val="0"/>
        <w:keepLines w:val="0"/>
        <w:pageBreakBefore w:val="0"/>
        <w:widowControl w:val="0"/>
        <w:kinsoku/>
        <w:wordWrap/>
        <w:overflowPunct/>
        <w:topLinePunct w:val="0"/>
        <w:autoSpaceDE/>
        <w:autoSpaceDN/>
        <w:bidi w:val="0"/>
        <w:spacing w:line="440" w:lineRule="exact"/>
        <w:ind w:left="0" w:leftChars="0" w:right="0" w:firstLine="64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管理局</w:t>
      </w:r>
      <w:r>
        <w:rPr>
          <w:rFonts w:hint="eastAsia" w:ascii="仿宋_GB2312" w:hAnsi="仿宋_GB2312" w:eastAsia="仿宋_GB2312" w:cs="仿宋_GB2312"/>
          <w:i w:val="0"/>
          <w:iCs w:val="0"/>
          <w:caps w:val="0"/>
          <w:spacing w:val="8"/>
          <w:sz w:val="32"/>
          <w:szCs w:val="32"/>
          <w:shd w:val="clear" w:fill="FFFFFF"/>
        </w:rPr>
        <w:t>为确保绩效评价工作落到实处，取得成效，认真组织开展绩效评价，</w:t>
      </w:r>
      <w:r>
        <w:rPr>
          <w:rFonts w:hint="eastAsia" w:ascii="仿宋_GB2312" w:hAnsi="仿宋_GB2312" w:eastAsia="仿宋_GB2312" w:cs="仿宋_GB2312"/>
          <w:sz w:val="32"/>
          <w:szCs w:val="32"/>
          <w:lang w:val="zh-CN" w:eastAsia="zh-CN"/>
        </w:rPr>
        <w:t>根据项目预算绩效评价指标</w:t>
      </w:r>
      <w:r>
        <w:rPr>
          <w:rFonts w:hint="eastAsia" w:ascii="仿宋_GB2312" w:hAnsi="仿宋_GB2312" w:eastAsia="仿宋_GB2312" w:cs="仿宋_GB2312"/>
          <w:sz w:val="32"/>
          <w:szCs w:val="32"/>
          <w:lang w:val="en-US" w:eastAsia="zh-CN"/>
        </w:rPr>
        <w:t>进行了自评，具体分析评分如下：</w:t>
      </w:r>
    </w:p>
    <w:p w14:paraId="215701C2">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i w:val="0"/>
          <w:iCs w:val="0"/>
          <w:caps w:val="0"/>
          <w:color w:val="2B2B2B"/>
          <w:spacing w:val="0"/>
          <w:sz w:val="32"/>
          <w:szCs w:val="32"/>
          <w:lang w:val="en-US" w:eastAsia="zh-CN"/>
        </w:rPr>
      </w:pPr>
      <w:r>
        <w:rPr>
          <w:rFonts w:hint="eastAsia" w:ascii="仿宋_GB2312" w:hAnsi="仿宋_GB2312" w:eastAsia="仿宋_GB2312" w:cs="仿宋_GB2312"/>
          <w:b/>
          <w:bCs/>
          <w:color w:val="auto"/>
          <w:sz w:val="32"/>
          <w:szCs w:val="32"/>
          <w:lang w:val="en-US" w:eastAsia="zh-CN"/>
        </w:rPr>
        <w:t>1.预算执行情况</w:t>
      </w:r>
      <w:r>
        <w:rPr>
          <w:rFonts w:hint="eastAsia" w:ascii="仿宋_GB2312" w:hAnsi="仿宋_GB2312" w:eastAsia="仿宋_GB2312" w:cs="仿宋_GB2312"/>
          <w:b w:val="0"/>
          <w:bCs w:val="0"/>
          <w:color w:val="auto"/>
          <w:sz w:val="32"/>
          <w:szCs w:val="32"/>
          <w:lang w:val="en-US" w:eastAsia="zh-CN"/>
        </w:rPr>
        <w:t>：该</w:t>
      </w:r>
      <w:r>
        <w:rPr>
          <w:rFonts w:hint="eastAsia" w:ascii="仿宋_GB2312" w:hAnsi="仿宋_GB2312" w:eastAsia="仿宋_GB2312" w:cs="仿宋_GB2312"/>
          <w:i w:val="0"/>
          <w:iCs w:val="0"/>
          <w:caps w:val="0"/>
          <w:color w:val="2B2B2B"/>
          <w:spacing w:val="0"/>
          <w:sz w:val="32"/>
          <w:szCs w:val="32"/>
          <w:lang w:val="en-US" w:eastAsia="zh-CN"/>
        </w:rPr>
        <w:t>项目严格按照《阿坝州科技计划项目管理办法》《阿坝州科技计划项目经费管理办法》使用资金。自评分：10分。</w:t>
      </w:r>
    </w:p>
    <w:p w14:paraId="16E3D4C8">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2.论文专著</w:t>
      </w:r>
      <w:r>
        <w:rPr>
          <w:rFonts w:hint="eastAsia" w:ascii="仿宋_GB2312" w:hAnsi="仿宋_GB2312" w:cs="仿宋_GB2312"/>
          <w:b/>
          <w:bCs/>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该</w:t>
      </w:r>
      <w:r>
        <w:rPr>
          <w:rFonts w:hint="eastAsia" w:ascii="仿宋_GB2312" w:hAnsi="仿宋_GB2312" w:eastAsia="仿宋_GB2312" w:cs="仿宋_GB2312"/>
          <w:i w:val="0"/>
          <w:iCs w:val="0"/>
          <w:caps w:val="0"/>
          <w:color w:val="2B2B2B"/>
          <w:spacing w:val="0"/>
          <w:sz w:val="32"/>
          <w:szCs w:val="32"/>
          <w:lang w:val="en-US" w:eastAsia="zh-CN"/>
        </w:rPr>
        <w:t>项目发表了研究论文3篇。自评分：20</w:t>
      </w:r>
      <w:r>
        <w:rPr>
          <w:rFonts w:hint="eastAsia" w:ascii="仿宋_GB2312" w:hAnsi="仿宋_GB2312" w:eastAsia="仿宋_GB2312" w:cs="仿宋_GB2312"/>
          <w:b w:val="0"/>
          <w:bCs w:val="0"/>
          <w:color w:val="auto"/>
          <w:sz w:val="32"/>
          <w:szCs w:val="32"/>
          <w:lang w:val="en-US" w:eastAsia="zh-CN"/>
        </w:rPr>
        <w:t>分。</w:t>
      </w:r>
    </w:p>
    <w:p w14:paraId="4E6E0189">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i w:val="0"/>
          <w:iCs w:val="0"/>
          <w:caps w:val="0"/>
          <w:color w:val="2B2B2B"/>
          <w:spacing w:val="0"/>
          <w:sz w:val="32"/>
          <w:szCs w:val="32"/>
          <w:lang w:val="en-US" w:eastAsia="zh-CN"/>
        </w:rPr>
      </w:pPr>
      <w:r>
        <w:rPr>
          <w:rFonts w:hint="eastAsia" w:ascii="仿宋_GB2312" w:hAnsi="仿宋_GB2312" w:eastAsia="仿宋_GB2312" w:cs="仿宋_GB2312"/>
          <w:b/>
          <w:bCs/>
          <w:color w:val="auto"/>
          <w:kern w:val="0"/>
          <w:position w:val="3"/>
          <w:sz w:val="32"/>
          <w:szCs w:val="32"/>
          <w:highlight w:val="none"/>
          <w:u w:val="none"/>
          <w:lang w:val="en-US" w:eastAsia="zh-CN" w:bidi="ar-SA"/>
        </w:rPr>
        <w:t>3.</w:t>
      </w:r>
      <w:r>
        <w:rPr>
          <w:rFonts w:hint="eastAsia" w:ascii="仿宋_GB2312" w:hAnsi="仿宋_GB2312" w:eastAsia="仿宋_GB2312" w:cs="仿宋_GB2312"/>
          <w:b/>
          <w:bCs/>
          <w:color w:val="auto"/>
          <w:kern w:val="0"/>
          <w:position w:val="3"/>
          <w:sz w:val="32"/>
          <w:szCs w:val="32"/>
          <w:highlight w:val="none"/>
          <w:u w:val="none"/>
          <w:lang w:val="en-US" w:eastAsia="en-US" w:bidi="ar-SA"/>
        </w:rPr>
        <w:t>专利发明</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i w:val="0"/>
          <w:iCs w:val="0"/>
          <w:caps w:val="0"/>
          <w:color w:val="2B2B2B"/>
          <w:spacing w:val="0"/>
          <w:sz w:val="32"/>
          <w:szCs w:val="32"/>
          <w:lang w:val="zh-CN" w:eastAsia="zh-CN"/>
        </w:rPr>
        <w:t>撰写发明专利</w:t>
      </w:r>
      <w:r>
        <w:rPr>
          <w:rFonts w:hint="eastAsia" w:ascii="仿宋_GB2312" w:hAnsi="仿宋_GB2312" w:eastAsia="仿宋_GB2312" w:cs="仿宋_GB2312"/>
          <w:i w:val="0"/>
          <w:iCs w:val="0"/>
          <w:caps w:val="0"/>
          <w:color w:val="2B2B2B"/>
          <w:spacing w:val="0"/>
          <w:sz w:val="32"/>
          <w:szCs w:val="32"/>
          <w:lang w:val="en-US" w:eastAsia="zh-CN"/>
        </w:rPr>
        <w:t>4</w:t>
      </w:r>
      <w:r>
        <w:rPr>
          <w:rFonts w:hint="eastAsia" w:ascii="仿宋_GB2312" w:hAnsi="仿宋_GB2312" w:eastAsia="仿宋_GB2312" w:cs="仿宋_GB2312"/>
          <w:i w:val="0"/>
          <w:iCs w:val="0"/>
          <w:caps w:val="0"/>
          <w:color w:val="2B2B2B"/>
          <w:spacing w:val="0"/>
          <w:sz w:val="32"/>
          <w:szCs w:val="32"/>
          <w:lang w:val="zh-CN" w:eastAsia="zh-CN"/>
        </w:rPr>
        <w:t>项</w:t>
      </w:r>
      <w:r>
        <w:rPr>
          <w:rFonts w:hint="eastAsia" w:ascii="仿宋_GB2312" w:hAnsi="仿宋_GB2312" w:eastAsia="仿宋_GB2312" w:cs="仿宋_GB2312"/>
          <w:i w:val="0"/>
          <w:iCs w:val="0"/>
          <w:caps w:val="0"/>
          <w:color w:val="2B2B2B"/>
          <w:spacing w:val="0"/>
          <w:sz w:val="32"/>
          <w:szCs w:val="32"/>
          <w:lang w:val="en-US" w:eastAsia="zh-CN"/>
        </w:rPr>
        <w:t>。自评分：10分。</w:t>
      </w:r>
    </w:p>
    <w:p w14:paraId="6C744719">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kern w:val="0"/>
          <w:position w:val="3"/>
          <w:sz w:val="32"/>
          <w:szCs w:val="32"/>
          <w:highlight w:val="none"/>
          <w:u w:val="none"/>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4.</w:t>
      </w:r>
      <w:r>
        <w:rPr>
          <w:rFonts w:hint="eastAsia" w:ascii="仿宋_GB2312" w:hAnsi="仿宋_GB2312" w:eastAsia="仿宋_GB2312" w:cs="仿宋_GB2312"/>
          <w:b/>
          <w:bCs/>
          <w:color w:val="auto"/>
          <w:kern w:val="0"/>
          <w:position w:val="3"/>
          <w:sz w:val="32"/>
          <w:szCs w:val="32"/>
          <w:highlight w:val="none"/>
          <w:u w:val="none"/>
          <w:lang w:val="en-US" w:eastAsia="en-US" w:bidi="ar-SA"/>
        </w:rPr>
        <w:t>研发面向3S技术的阿坝州生态资源调查及公共服务平台</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自评分：</w:t>
      </w:r>
      <w:r>
        <w:rPr>
          <w:rFonts w:hint="eastAsia" w:ascii="仿宋_GB2312" w:hAnsi="仿宋_GB2312" w:cs="仿宋_GB2312"/>
          <w:b w:val="0"/>
          <w:bCs w:val="0"/>
          <w:color w:val="auto"/>
          <w:sz w:val="32"/>
          <w:szCs w:val="32"/>
          <w:lang w:val="en-US" w:eastAsia="zh-CN"/>
        </w:rPr>
        <w:t>20</w:t>
      </w:r>
      <w:r>
        <w:rPr>
          <w:rFonts w:hint="eastAsia" w:ascii="仿宋_GB2312" w:hAnsi="仿宋_GB2312" w:eastAsia="仿宋_GB2312" w:cs="仿宋_GB2312"/>
          <w:b w:val="0"/>
          <w:bCs w:val="0"/>
          <w:color w:val="auto"/>
          <w:sz w:val="32"/>
          <w:szCs w:val="32"/>
          <w:lang w:val="en-US" w:eastAsia="zh-CN"/>
        </w:rPr>
        <w:t>分。</w:t>
      </w:r>
    </w:p>
    <w:p w14:paraId="7D958930">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eastAsia" w:ascii="仿宋_GB2312" w:hAnsi="仿宋_GB2312" w:eastAsia="仿宋_GB2312" w:cs="仿宋_GB2312"/>
          <w:b/>
          <w:bCs/>
          <w:color w:val="auto"/>
          <w:kern w:val="0"/>
          <w:position w:val="3"/>
          <w:sz w:val="32"/>
          <w:szCs w:val="32"/>
          <w:highlight w:val="none"/>
          <w:u w:val="none"/>
          <w:lang w:val="en-US" w:eastAsia="zh-CN" w:bidi="ar-SA"/>
        </w:rPr>
      </w:pPr>
      <w:r>
        <w:rPr>
          <w:rFonts w:hint="eastAsia" w:ascii="仿宋_GB2312" w:hAnsi="仿宋_GB2312" w:eastAsia="仿宋_GB2312" w:cs="仿宋_GB2312"/>
          <w:b/>
          <w:bCs/>
          <w:color w:val="auto"/>
          <w:kern w:val="0"/>
          <w:position w:val="3"/>
          <w:sz w:val="32"/>
          <w:szCs w:val="32"/>
          <w:highlight w:val="none"/>
          <w:u w:val="none"/>
          <w:lang w:val="en-US" w:eastAsia="zh-CN" w:bidi="ar-SA"/>
        </w:rPr>
        <w:t>5.优化文旅产业布局</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自评分：</w:t>
      </w:r>
      <w:r>
        <w:rPr>
          <w:rFonts w:hint="eastAsia" w:ascii="仿宋_GB2312" w:hAnsi="仿宋_GB2312" w:cs="仿宋_GB2312"/>
          <w:b w:val="0"/>
          <w:bCs w:val="0"/>
          <w:color w:val="auto"/>
          <w:sz w:val="32"/>
          <w:szCs w:val="32"/>
          <w:lang w:val="en-US" w:eastAsia="zh-CN"/>
        </w:rPr>
        <w:t>20</w:t>
      </w:r>
      <w:r>
        <w:rPr>
          <w:rFonts w:hint="eastAsia" w:ascii="仿宋_GB2312" w:hAnsi="仿宋_GB2312" w:eastAsia="仿宋_GB2312" w:cs="仿宋_GB2312"/>
          <w:b w:val="0"/>
          <w:bCs w:val="0"/>
          <w:color w:val="auto"/>
          <w:sz w:val="32"/>
          <w:szCs w:val="32"/>
          <w:lang w:val="en-US" w:eastAsia="zh-CN"/>
        </w:rPr>
        <w:t>分</w:t>
      </w:r>
    </w:p>
    <w:p w14:paraId="6795C005">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3" w:firstLineChars="200"/>
        <w:jc w:val="left"/>
        <w:textAlignment w:val="auto"/>
        <w:rPr>
          <w:rFonts w:hint="default" w:ascii="仿宋_GB2312" w:hAnsi="仿宋_GB2312" w:eastAsia="仿宋_GB2312" w:cs="仿宋_GB2312"/>
          <w:b/>
          <w:bCs/>
          <w:color w:val="auto"/>
          <w:kern w:val="0"/>
          <w:position w:val="3"/>
          <w:sz w:val="32"/>
          <w:szCs w:val="32"/>
          <w:highlight w:val="none"/>
          <w:u w:val="none"/>
          <w:lang w:val="en-US" w:eastAsia="zh-CN" w:bidi="ar-SA"/>
        </w:rPr>
      </w:pPr>
      <w:r>
        <w:rPr>
          <w:rFonts w:hint="eastAsia" w:ascii="仿宋_GB2312" w:hAnsi="仿宋_GB2312" w:cs="仿宋_GB2312"/>
          <w:b/>
          <w:bCs/>
          <w:color w:val="auto"/>
          <w:kern w:val="0"/>
          <w:position w:val="3"/>
          <w:sz w:val="32"/>
          <w:szCs w:val="32"/>
          <w:highlight w:val="none"/>
          <w:u w:val="none"/>
          <w:lang w:val="en-US" w:eastAsia="zh-CN" w:bidi="ar-SA"/>
        </w:rPr>
        <w:t>6.</w:t>
      </w:r>
      <w:r>
        <w:rPr>
          <w:rFonts w:hint="eastAsia" w:ascii="仿宋_GB2312" w:hAnsi="仿宋_GB2312" w:eastAsia="仿宋_GB2312" w:cs="仿宋_GB2312"/>
          <w:b/>
          <w:bCs/>
          <w:color w:val="auto"/>
          <w:kern w:val="0"/>
          <w:position w:val="3"/>
          <w:sz w:val="32"/>
          <w:szCs w:val="32"/>
          <w:highlight w:val="none"/>
          <w:u w:val="none"/>
          <w:lang w:val="en-US" w:eastAsia="en-US" w:bidi="ar-SA"/>
        </w:rPr>
        <w:t>助力阿坝州生态旅游和全域旅游建设</w:t>
      </w:r>
      <w:r>
        <w:rPr>
          <w:rFonts w:hint="eastAsia" w:ascii="仿宋_GB2312" w:hAnsi="仿宋_GB2312" w:cs="仿宋_GB2312"/>
          <w:b/>
          <w:bCs/>
          <w:color w:val="auto"/>
          <w:kern w:val="0"/>
          <w:position w:val="3"/>
          <w:sz w:val="32"/>
          <w:szCs w:val="32"/>
          <w:highlight w:val="none"/>
          <w:u w:val="none"/>
          <w:lang w:val="en-US" w:eastAsia="zh-CN" w:bidi="ar-SA"/>
        </w:rPr>
        <w:t>：</w:t>
      </w:r>
      <w:r>
        <w:rPr>
          <w:rFonts w:hint="eastAsia" w:ascii="仿宋_GB2312" w:hAnsi="仿宋_GB2312" w:eastAsia="仿宋_GB2312" w:cs="仿宋_GB2312"/>
          <w:b w:val="0"/>
          <w:bCs w:val="0"/>
          <w:color w:val="auto"/>
          <w:sz w:val="32"/>
          <w:szCs w:val="32"/>
          <w:lang w:val="en-US" w:eastAsia="zh-CN"/>
        </w:rPr>
        <w:t>自评分：</w:t>
      </w:r>
      <w:r>
        <w:rPr>
          <w:rFonts w:hint="eastAsia" w:ascii="仿宋_GB2312" w:hAnsi="仿宋_GB2312" w:cs="仿宋_GB2312"/>
          <w:b w:val="0"/>
          <w:bCs w:val="0"/>
          <w:color w:val="auto"/>
          <w:sz w:val="32"/>
          <w:szCs w:val="32"/>
          <w:lang w:val="en-US" w:eastAsia="zh-CN"/>
        </w:rPr>
        <w:t>20</w:t>
      </w:r>
      <w:r>
        <w:rPr>
          <w:rFonts w:hint="eastAsia" w:ascii="仿宋_GB2312" w:hAnsi="仿宋_GB2312" w:eastAsia="仿宋_GB2312" w:cs="仿宋_GB2312"/>
          <w:b w:val="0"/>
          <w:bCs w:val="0"/>
          <w:color w:val="auto"/>
          <w:sz w:val="32"/>
          <w:szCs w:val="32"/>
          <w:lang w:val="en-US" w:eastAsia="zh-CN"/>
        </w:rPr>
        <w:t>分。</w:t>
      </w:r>
    </w:p>
    <w:p w14:paraId="61AB639B">
      <w:pPr>
        <w:keepNext w:val="0"/>
        <w:keepLines w:val="0"/>
        <w:pageBreakBefore w:val="0"/>
        <w:widowControl/>
        <w:numPr>
          <w:ilvl w:val="0"/>
          <w:numId w:val="0"/>
        </w:numPr>
        <w:kinsoku/>
        <w:wordWrap/>
        <w:overflowPunct/>
        <w:topLinePunct w:val="0"/>
        <w:autoSpaceDE/>
        <w:autoSpaceDN/>
        <w:bidi w:val="0"/>
        <w:adjustRightInd/>
        <w:spacing w:line="440" w:lineRule="exact"/>
        <w:ind w:left="0" w:right="0" w:firstLine="640" w:firstLineChars="200"/>
        <w:jc w:val="left"/>
        <w:textAlignment w:val="auto"/>
        <w:rPr>
          <w:rFonts w:hint="eastAsia" w:ascii="黑体" w:hAnsi="黑体" w:eastAsia="黑体" w:cs="黑体"/>
          <w:color w:val="auto"/>
          <w:kern w:val="0"/>
          <w:position w:val="3"/>
          <w:sz w:val="32"/>
          <w:szCs w:val="32"/>
          <w:highlight w:val="none"/>
          <w:u w:val="none"/>
          <w:lang w:val="en-US" w:eastAsia="en-US" w:bidi="ar-SA"/>
        </w:rPr>
      </w:pPr>
      <w:r>
        <w:rPr>
          <w:rFonts w:hint="eastAsia" w:ascii="黑体" w:hAnsi="黑体" w:eastAsia="黑体" w:cs="黑体"/>
          <w:color w:val="auto"/>
          <w:kern w:val="0"/>
          <w:position w:val="3"/>
          <w:sz w:val="32"/>
          <w:szCs w:val="32"/>
          <w:highlight w:val="none"/>
          <w:u w:val="none"/>
          <w:lang w:val="en-US" w:eastAsia="zh-CN" w:bidi="ar-SA"/>
        </w:rPr>
        <w:t>四</w:t>
      </w:r>
      <w:r>
        <w:rPr>
          <w:rFonts w:hint="eastAsia" w:ascii="黑体" w:hAnsi="黑体" w:eastAsia="黑体" w:cs="黑体"/>
          <w:color w:val="auto"/>
          <w:kern w:val="0"/>
          <w:position w:val="3"/>
          <w:sz w:val="32"/>
          <w:szCs w:val="32"/>
          <w:highlight w:val="none"/>
          <w:u w:val="none"/>
          <w:lang w:val="en-US" w:eastAsia="en-US" w:bidi="ar-SA"/>
        </w:rPr>
        <w:t>、评价结论</w:t>
      </w:r>
    </w:p>
    <w:p w14:paraId="44563769">
      <w:pPr>
        <w:keepNext w:val="0"/>
        <w:keepLines w:val="0"/>
        <w:pageBreakBefore w:val="0"/>
        <w:widowControl w:val="0"/>
        <w:kinsoku/>
        <w:wordWrap/>
        <w:overflowPunct/>
        <w:topLinePunct w:val="0"/>
        <w:autoSpaceDE/>
        <w:autoSpaceDN/>
        <w:bidi w:val="0"/>
        <w:spacing w:line="440" w:lineRule="exact"/>
        <w:ind w:left="0" w:right="0" w:firstLine="640" w:firstLineChars="200"/>
        <w:jc w:val="left"/>
        <w:textAlignment w:val="auto"/>
        <w:rPr>
          <w:rFonts w:hint="eastAsia" w:ascii="仿宋_GB2312" w:hAnsi="仿宋_GB2312" w:eastAsia="仿宋_GB2312" w:cs="仿宋_GB2312"/>
          <w:i w:val="0"/>
          <w:iCs w:val="0"/>
          <w:caps w:val="0"/>
          <w:color w:val="2B2B2B"/>
          <w:spacing w:val="0"/>
          <w:sz w:val="32"/>
          <w:szCs w:val="32"/>
          <w:lang w:val="en-US" w:eastAsia="zh-CN"/>
        </w:rPr>
      </w:pPr>
      <w:r>
        <w:rPr>
          <w:rFonts w:hint="eastAsia" w:ascii="仿宋_GB2312" w:hAnsi="仿宋_GB2312" w:eastAsia="仿宋_GB2312" w:cs="仿宋_GB2312"/>
          <w:i w:val="0"/>
          <w:iCs w:val="0"/>
          <w:caps w:val="0"/>
          <w:color w:val="2B2B2B"/>
          <w:spacing w:val="0"/>
          <w:sz w:val="32"/>
          <w:szCs w:val="32"/>
          <w:lang w:val="en-US" w:eastAsia="zh-CN"/>
        </w:rPr>
        <w:t>本次绩效评价总分为100分，经管理局自评，评价得分100分。该项目</w:t>
      </w:r>
      <w:r>
        <w:rPr>
          <w:rFonts w:hint="eastAsia" w:ascii="仿宋_GB2312" w:hAnsi="仿宋_GB2312" w:eastAsia="仿宋_GB2312" w:cs="仿宋_GB2312"/>
          <w:i w:val="0"/>
          <w:iCs w:val="0"/>
          <w:caps w:val="0"/>
          <w:color w:val="2B2B2B"/>
          <w:spacing w:val="0"/>
          <w:sz w:val="32"/>
          <w:szCs w:val="32"/>
          <w:lang w:val="zh-CN" w:eastAsia="zh-CN"/>
        </w:rPr>
        <w:t>按照任务要求，已完成超半的任务书；构建了阿坝州生态资源（局部）高程系统；已发表高质量论文3篇；</w:t>
      </w:r>
      <w:r>
        <w:rPr>
          <w:rFonts w:hint="eastAsia" w:ascii="仿宋_GB2312" w:hAnsi="仿宋_GB2312" w:eastAsia="仿宋_GB2312" w:cs="仿宋_GB2312"/>
          <w:i w:val="0"/>
          <w:iCs w:val="0"/>
          <w:caps w:val="0"/>
          <w:color w:val="2B2B2B"/>
          <w:spacing w:val="0"/>
          <w:sz w:val="32"/>
          <w:szCs w:val="32"/>
          <w:lang w:val="en-US" w:eastAsia="zh-CN"/>
        </w:rPr>
        <w:t>申请</w:t>
      </w:r>
      <w:r>
        <w:rPr>
          <w:rFonts w:hint="eastAsia" w:ascii="仿宋_GB2312" w:hAnsi="仿宋_GB2312" w:eastAsia="仿宋_GB2312" w:cs="仿宋_GB2312"/>
          <w:i w:val="0"/>
          <w:iCs w:val="0"/>
          <w:caps w:val="0"/>
          <w:color w:val="2B2B2B"/>
          <w:spacing w:val="0"/>
          <w:sz w:val="32"/>
          <w:szCs w:val="32"/>
          <w:lang w:val="zh-CN" w:eastAsia="zh-CN"/>
        </w:rPr>
        <w:t>发明专利</w:t>
      </w:r>
      <w:r>
        <w:rPr>
          <w:rFonts w:hint="eastAsia" w:ascii="仿宋_GB2312" w:hAnsi="仿宋_GB2312" w:eastAsia="仿宋_GB2312" w:cs="仿宋_GB2312"/>
          <w:i w:val="0"/>
          <w:iCs w:val="0"/>
          <w:caps w:val="0"/>
          <w:color w:val="2B2B2B"/>
          <w:spacing w:val="0"/>
          <w:sz w:val="32"/>
          <w:szCs w:val="32"/>
          <w:lang w:val="en-US" w:eastAsia="zh-CN"/>
        </w:rPr>
        <w:t>4</w:t>
      </w:r>
      <w:r>
        <w:rPr>
          <w:rFonts w:hint="eastAsia" w:ascii="仿宋_GB2312" w:hAnsi="仿宋_GB2312" w:eastAsia="仿宋_GB2312" w:cs="仿宋_GB2312"/>
          <w:i w:val="0"/>
          <w:iCs w:val="0"/>
          <w:caps w:val="0"/>
          <w:color w:val="2B2B2B"/>
          <w:spacing w:val="0"/>
          <w:sz w:val="32"/>
          <w:szCs w:val="32"/>
          <w:lang w:val="zh-CN" w:eastAsia="zh-CN"/>
        </w:rPr>
        <w:t>项；提出一套满足遥感图像处理的深度学习算法。</w:t>
      </w:r>
    </w:p>
    <w:p w14:paraId="189F28F0">
      <w:pPr>
        <w:keepNext w:val="0"/>
        <w:keepLines w:val="0"/>
        <w:pageBreakBefore w:val="0"/>
        <w:widowControl/>
        <w:numPr>
          <w:ilvl w:val="0"/>
          <w:numId w:val="0"/>
        </w:numPr>
        <w:kinsoku/>
        <w:wordWrap/>
        <w:overflowPunct/>
        <w:topLinePunct w:val="0"/>
        <w:autoSpaceDE/>
        <w:autoSpaceDN/>
        <w:bidi w:val="0"/>
        <w:adjustRightInd/>
        <w:spacing w:line="440" w:lineRule="exact"/>
        <w:ind w:left="0" w:leftChars="0" w:right="0" w:firstLine="640" w:firstLineChars="200"/>
        <w:jc w:val="left"/>
        <w:textAlignment w:val="auto"/>
        <w:rPr>
          <w:rFonts w:hint="eastAsia" w:ascii="黑体" w:hAnsi="黑体" w:eastAsia="黑体" w:cs="黑体"/>
          <w:color w:val="auto"/>
          <w:kern w:val="0"/>
          <w:position w:val="3"/>
          <w:sz w:val="32"/>
          <w:szCs w:val="32"/>
          <w:highlight w:val="none"/>
          <w:u w:val="none"/>
          <w:lang w:val="en-US" w:eastAsia="zh-CN" w:bidi="ar-SA"/>
        </w:rPr>
      </w:pPr>
      <w:r>
        <w:rPr>
          <w:rFonts w:hint="eastAsia" w:ascii="黑体" w:hAnsi="黑体" w:eastAsia="黑体" w:cs="黑体"/>
          <w:color w:val="auto"/>
          <w:kern w:val="0"/>
          <w:position w:val="3"/>
          <w:sz w:val="32"/>
          <w:szCs w:val="32"/>
          <w:highlight w:val="none"/>
          <w:u w:val="none"/>
          <w:lang w:val="en-US" w:eastAsia="zh-CN" w:bidi="ar-SA"/>
        </w:rPr>
        <w:t>五、存在主要问题</w:t>
      </w:r>
    </w:p>
    <w:p w14:paraId="143D9336">
      <w:pPr>
        <w:keepNext w:val="0"/>
        <w:keepLines w:val="0"/>
        <w:pageBreakBefore w:val="0"/>
        <w:kinsoku/>
        <w:wordWrap/>
        <w:overflowPunct/>
        <w:topLinePunct w:val="0"/>
        <w:autoSpaceDE/>
        <w:autoSpaceDN/>
        <w:bidi w:val="0"/>
        <w:adjustRightInd w:val="0"/>
        <w:snapToGrid w:val="0"/>
        <w:spacing w:line="440" w:lineRule="exact"/>
        <w:ind w:left="0" w:leftChars="0" w:right="0" w:firstLine="72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暂无。</w:t>
      </w:r>
    </w:p>
    <w:p w14:paraId="04C932FD">
      <w:pPr>
        <w:keepNext w:val="0"/>
        <w:keepLines w:val="0"/>
        <w:pageBreakBefore w:val="0"/>
        <w:widowControl/>
        <w:numPr>
          <w:ilvl w:val="0"/>
          <w:numId w:val="0"/>
        </w:numPr>
        <w:kinsoku/>
        <w:wordWrap/>
        <w:overflowPunct/>
        <w:topLinePunct w:val="0"/>
        <w:autoSpaceDE/>
        <w:autoSpaceDN/>
        <w:bidi w:val="0"/>
        <w:adjustRightInd/>
        <w:spacing w:line="440" w:lineRule="exact"/>
        <w:ind w:left="0" w:leftChars="0" w:right="0" w:firstLine="640" w:firstLineChars="200"/>
        <w:jc w:val="left"/>
        <w:textAlignment w:val="auto"/>
        <w:rPr>
          <w:rFonts w:hint="eastAsia" w:ascii="黑体" w:hAnsi="黑体" w:eastAsia="黑体" w:cs="黑体"/>
          <w:color w:val="auto"/>
          <w:kern w:val="0"/>
          <w:position w:val="3"/>
          <w:sz w:val="32"/>
          <w:szCs w:val="32"/>
          <w:highlight w:val="none"/>
          <w:u w:val="none"/>
          <w:lang w:val="zh-CN" w:eastAsia="zh-CN" w:bidi="ar-SA"/>
        </w:rPr>
      </w:pPr>
      <w:r>
        <w:rPr>
          <w:rFonts w:hint="eastAsia" w:ascii="黑体" w:hAnsi="黑体" w:eastAsia="黑体" w:cs="黑体"/>
          <w:color w:val="auto"/>
          <w:kern w:val="0"/>
          <w:position w:val="3"/>
          <w:sz w:val="32"/>
          <w:szCs w:val="32"/>
          <w:highlight w:val="none"/>
          <w:u w:val="none"/>
          <w:lang w:val="zh-CN" w:eastAsia="zh-CN" w:bidi="ar-SA"/>
        </w:rPr>
        <w:t>六、改进建议</w:t>
      </w:r>
    </w:p>
    <w:p w14:paraId="5BBE5CD6">
      <w:pPr>
        <w:keepNext w:val="0"/>
        <w:keepLines w:val="0"/>
        <w:pageBreakBefore w:val="0"/>
        <w:kinsoku/>
        <w:wordWrap/>
        <w:overflowPunct/>
        <w:topLinePunct w:val="0"/>
        <w:autoSpaceDE/>
        <w:autoSpaceDN/>
        <w:bidi w:val="0"/>
        <w:adjustRightInd w:val="0"/>
        <w:snapToGrid w:val="0"/>
        <w:spacing w:line="440" w:lineRule="exact"/>
        <w:ind w:left="0" w:right="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暂无。</w:t>
      </w:r>
    </w:p>
    <w:p w14:paraId="23A1461F">
      <w:pPr>
        <w:pStyle w:val="2"/>
        <w:rPr>
          <w:rFonts w:hint="eastAsia" w:ascii="仿宋_GB2312" w:hAnsi="仿宋_GB2312" w:eastAsia="仿宋_GB2312" w:cs="仿宋_GB2312"/>
          <w:sz w:val="32"/>
          <w:szCs w:val="32"/>
          <w:lang w:val="zh-CN"/>
        </w:rPr>
      </w:pPr>
    </w:p>
    <w:p w14:paraId="3ABE37CB">
      <w:pPr>
        <w:rPr>
          <w:rFonts w:hint="eastAsia" w:ascii="仿宋_GB2312" w:hAnsi="仿宋_GB2312" w:eastAsia="仿宋_GB2312" w:cs="仿宋_GB2312"/>
          <w:sz w:val="32"/>
          <w:szCs w:val="32"/>
          <w:lang w:val="zh-CN"/>
        </w:rPr>
      </w:pPr>
    </w:p>
    <w:p w14:paraId="719CBC7E">
      <w:pPr>
        <w:pStyle w:val="2"/>
        <w:rPr>
          <w:rFonts w:hint="eastAsia"/>
          <w:lang w:val="zh-CN"/>
        </w:rPr>
      </w:pPr>
    </w:p>
    <w:p w14:paraId="7DA4FDD0">
      <w:pPr>
        <w:pageBreakBefore w:val="0"/>
        <w:kinsoku/>
        <w:wordWrap/>
        <w:overflowPunct/>
        <w:topLinePunct w:val="0"/>
        <w:bidi w:val="0"/>
        <w:spacing w:line="440" w:lineRule="exact"/>
        <w:rPr>
          <w:rFonts w:hint="eastAsia"/>
          <w:lang w:val="zh-CN"/>
        </w:rPr>
      </w:pPr>
    </w:p>
    <w:p w14:paraId="14EFBDC8">
      <w:pPr>
        <w:pStyle w:val="2"/>
        <w:rPr>
          <w:rFonts w:hint="eastAsia"/>
          <w:lang w:val="zh-CN"/>
        </w:rPr>
      </w:pPr>
    </w:p>
    <w:p w14:paraId="4CEC0E48">
      <w:pPr>
        <w:rPr>
          <w:rFonts w:hint="eastAsia"/>
          <w:lang w:val="zh-CN"/>
        </w:rPr>
      </w:pPr>
    </w:p>
    <w:p w14:paraId="7E7EF739">
      <w:pPr>
        <w:pStyle w:val="2"/>
        <w:rPr>
          <w:rFonts w:hint="eastAsia"/>
          <w:lang w:val="zh-CN"/>
        </w:rPr>
      </w:pPr>
    </w:p>
    <w:p w14:paraId="78679CE0">
      <w:pPr>
        <w:rPr>
          <w:rFonts w:hint="eastAsia"/>
          <w:lang w:val="zh-CN"/>
        </w:rPr>
      </w:pPr>
    </w:p>
    <w:p w14:paraId="1178AFCE">
      <w:pPr>
        <w:pStyle w:val="2"/>
        <w:rPr>
          <w:rFonts w:hint="eastAsia"/>
          <w:lang w:val="zh-CN"/>
        </w:rPr>
      </w:pPr>
    </w:p>
    <w:p w14:paraId="1EC596C3">
      <w:pPr>
        <w:rPr>
          <w:rFonts w:hint="eastAsia"/>
          <w:lang w:val="zh-CN"/>
        </w:rPr>
      </w:pPr>
    </w:p>
    <w:p w14:paraId="44FFAF51">
      <w:pPr>
        <w:pStyle w:val="2"/>
        <w:rPr>
          <w:rFonts w:hint="eastAsia"/>
          <w:lang w:val="zh-CN"/>
        </w:rPr>
      </w:pPr>
    </w:p>
    <w:p w14:paraId="2DF037F0">
      <w:pPr>
        <w:rPr>
          <w:rFonts w:hint="eastAsia"/>
          <w:lang w:val="zh-CN"/>
        </w:rPr>
      </w:pPr>
    </w:p>
    <w:p w14:paraId="153B2C7C">
      <w:pPr>
        <w:pStyle w:val="2"/>
        <w:rPr>
          <w:rFonts w:hint="eastAsia"/>
          <w:lang w:val="zh-CN"/>
        </w:rPr>
      </w:pPr>
    </w:p>
    <w:p w14:paraId="0A871620">
      <w:pPr>
        <w:rPr>
          <w:rFonts w:hint="eastAsia"/>
          <w:lang w:val="zh-CN"/>
        </w:rPr>
      </w:pPr>
    </w:p>
    <w:p w14:paraId="1A5AB005">
      <w:pPr>
        <w:pStyle w:val="2"/>
        <w:rPr>
          <w:rFonts w:hint="eastAsia"/>
          <w:lang w:val="zh-CN"/>
        </w:rPr>
      </w:pPr>
      <w:r>
        <w:rPr>
          <w:rFonts w:hint="eastAsia"/>
          <w:lang w:val="zh-CN"/>
        </w:rPr>
        <w:object>
          <v:shape id="_x0000_i1025" o:spt="75" type="#_x0000_t75" style="height:642.15pt;width:422.15pt;" o:ole="t" filled="f" o:preferrelative="t" stroked="f" coordsize="21600,21600">
            <v:path/>
            <v:fill on="f" focussize="0,0"/>
            <v:stroke on="f"/>
            <v:imagedata r:id="rId20" o:title=""/>
            <o:lock v:ext="edit" aspectratio="t"/>
            <w10:wrap type="none"/>
            <w10:anchorlock/>
          </v:shape>
          <o:OLEObject Type="Embed" ProgID="Excel.Sheet.8" ShapeID="_x0000_i1025" DrawAspect="Content" ObjectID="_1468075725" r:id="rId19">
            <o:LockedField>false</o:LockedField>
          </o:OLEObject>
        </w:object>
      </w:r>
    </w:p>
    <w:p w14:paraId="6F34DB9F">
      <w:pPr>
        <w:rPr>
          <w:rFonts w:hint="eastAsia"/>
          <w:lang w:val="zh-CN"/>
        </w:rPr>
      </w:pPr>
      <w:r>
        <w:rPr>
          <w:rFonts w:hint="eastAsia"/>
          <w:lang w:val="zh-CN"/>
        </w:rPr>
        <w:object>
          <v:shape id="_x0000_i1026" o:spt="75" type="#_x0000_t75" style="height:633.8pt;width:438.6pt;" o:ole="t" filled="f" o:preferrelative="t" stroked="f" coordsize="21600,21600">
            <v:path/>
            <v:fill on="f" focussize="0,0"/>
            <v:stroke on="f"/>
            <v:imagedata r:id="rId22" o:title=""/>
            <o:lock v:ext="edit" aspectratio="t"/>
            <w10:wrap type="none"/>
            <w10:anchorlock/>
          </v:shape>
          <o:OLEObject Type="Embed" ProgID="Excel.Sheet.8" ShapeID="_x0000_i1026" DrawAspect="Content" ObjectID="_1468075726" r:id="rId21">
            <o:LockedField>false</o:LockedField>
          </o:OLEObject>
        </w:object>
      </w:r>
    </w:p>
    <w:p w14:paraId="4F928455">
      <w:pPr>
        <w:pStyle w:val="2"/>
        <w:rPr>
          <w:rFonts w:hint="eastAsia"/>
          <w:lang w:val="zh-CN"/>
        </w:rPr>
      </w:pPr>
      <w:r>
        <w:rPr>
          <w:rFonts w:hint="eastAsia"/>
          <w:lang w:val="zh-CN"/>
        </w:rPr>
        <w:object>
          <v:shape id="_x0000_i1027" o:spt="75" type="#_x0000_t75" style="height:655.6pt;width:429.4pt;" o:ole="t" filled="f" o:preferrelative="t" stroked="f" coordsize="21600,21600">
            <v:path/>
            <v:fill on="f" focussize="0,0"/>
            <v:stroke on="f"/>
            <v:imagedata r:id="rId24" o:title=""/>
            <o:lock v:ext="edit" aspectratio="t"/>
            <w10:wrap type="none"/>
            <w10:anchorlock/>
          </v:shape>
          <o:OLEObject Type="Embed" ProgID="Excel.Sheet.8" ShapeID="_x0000_i1027" DrawAspect="Content" ObjectID="_1468075727" r:id="rId23">
            <o:LockedField>false</o:LockedField>
          </o:OLEObject>
        </w:object>
      </w:r>
    </w:p>
    <w:p w14:paraId="724DDC4C">
      <w:pPr>
        <w:rPr>
          <w:rFonts w:hint="eastAsia"/>
          <w:lang w:val="zh-CN"/>
        </w:rPr>
      </w:pPr>
      <w:r>
        <w:rPr>
          <w:rFonts w:hint="eastAsia"/>
          <w:lang w:val="zh-CN"/>
        </w:rPr>
        <w:object>
          <v:shape id="_x0000_i1028" o:spt="75" type="#_x0000_t75" style="height:645.2pt;width:431.25pt;" o:ole="t" filled="f" o:preferrelative="t" stroked="f" coordsize="21600,21600">
            <v:path/>
            <v:fill on="f" focussize="0,0"/>
            <v:stroke on="f"/>
            <v:imagedata r:id="rId26" o:title=""/>
            <o:lock v:ext="edit" aspectratio="t"/>
            <w10:wrap type="none"/>
            <w10:anchorlock/>
          </v:shape>
          <o:OLEObject Type="Embed" ProgID="Excel.Sheet.8" ShapeID="_x0000_i1028" DrawAspect="Content" ObjectID="_1468075728" r:id="rId25">
            <o:LockedField>false</o:LockedField>
          </o:OLEObject>
        </w:object>
      </w:r>
    </w:p>
    <w:p w14:paraId="6CD730B7">
      <w:pPr>
        <w:rPr>
          <w:rFonts w:hint="eastAsia"/>
          <w:lang w:val="zh-CN"/>
        </w:rPr>
      </w:pPr>
    </w:p>
    <w:p w14:paraId="50681C2D">
      <w:pPr>
        <w:pStyle w:val="2"/>
        <w:rPr>
          <w:rFonts w:hint="eastAsia"/>
          <w:lang w:val="zh-CN"/>
        </w:rPr>
      </w:pPr>
      <w:r>
        <w:rPr>
          <w:rFonts w:hint="eastAsia"/>
          <w:lang w:val="zh-CN"/>
        </w:rPr>
        <w:object>
          <v:shape id="_x0000_i1029" o:spt="75" type="#_x0000_t75" style="height:642.05pt;width:440.9pt;" o:ole="t" filled="f" o:preferrelative="t" stroked="f" coordsize="21600,21600">
            <v:path/>
            <v:fill on="f" focussize="0,0"/>
            <v:stroke on="f"/>
            <v:imagedata r:id="rId28" o:title=""/>
            <o:lock v:ext="edit" aspectratio="t"/>
            <w10:wrap type="none"/>
            <w10:anchorlock/>
          </v:shape>
          <o:OLEObject Type="Embed" ProgID="Excel.Sheet.8" ShapeID="_x0000_i1029" DrawAspect="Content" ObjectID="_1468075729" r:id="rId27">
            <o:LockedField>false</o:LockedField>
          </o:OLEObject>
        </w:object>
      </w:r>
    </w:p>
    <w:p w14:paraId="7070A39B">
      <w:pPr>
        <w:rPr>
          <w:rFonts w:hint="eastAsia"/>
          <w:lang w:val="zh-CN"/>
        </w:rPr>
      </w:pPr>
      <w:r>
        <w:rPr>
          <w:rFonts w:hint="eastAsia"/>
          <w:lang w:val="zh-CN"/>
        </w:rPr>
        <w:object>
          <v:shape id="_x0000_i1030" o:spt="75" type="#_x0000_t75" style="height:659.35pt;width:452.65pt;" o:ole="t" filled="f" o:preferrelative="t" stroked="f" coordsize="21600,21600">
            <v:path/>
            <v:fill on="f" focussize="0,0"/>
            <v:stroke on="f"/>
            <v:imagedata r:id="rId30" o:title=""/>
            <o:lock v:ext="edit" aspectratio="t"/>
            <w10:wrap type="none"/>
            <w10:anchorlock/>
          </v:shape>
          <o:OLEObject Type="Embed" ProgID="Excel.Sheet.8" ShapeID="_x0000_i1030" DrawAspect="Content" ObjectID="_1468075730" r:id="rId29">
            <o:LockedField>false</o:LockedField>
          </o:OLEObject>
        </w:object>
      </w:r>
    </w:p>
    <w:p w14:paraId="6A22698E">
      <w:pPr>
        <w:pStyle w:val="2"/>
        <w:rPr>
          <w:rFonts w:hint="eastAsia"/>
          <w:lang w:val="zh-CN"/>
        </w:rPr>
      </w:pPr>
      <w:r>
        <w:rPr>
          <w:rFonts w:hint="eastAsia"/>
          <w:lang w:val="zh-CN"/>
        </w:rPr>
        <w:object>
          <v:shape id="_x0000_i1031" o:spt="75" type="#_x0000_t75" style="height:590.95pt;width:424.2pt;" o:ole="t" filled="f" o:preferrelative="t" stroked="f" coordsize="21600,21600">
            <v:path/>
            <v:fill on="f" focussize="0,0"/>
            <v:stroke on="f"/>
            <v:imagedata r:id="rId32" o:title=""/>
            <o:lock v:ext="edit" aspectratio="t"/>
            <w10:wrap type="none"/>
            <w10:anchorlock/>
          </v:shape>
          <o:OLEObject Type="Embed" ProgID="Excel.Sheet.8" ShapeID="_x0000_i1031" DrawAspect="Content" ObjectID="_1468075731" r:id="rId31">
            <o:LockedField>false</o:LockedField>
          </o:OLEObject>
        </w:object>
      </w:r>
    </w:p>
    <w:p w14:paraId="33289575">
      <w:pPr>
        <w:rPr>
          <w:rFonts w:hint="eastAsia"/>
          <w:lang w:val="zh-CN"/>
        </w:rPr>
      </w:pPr>
    </w:p>
    <w:p w14:paraId="7706769D">
      <w:pPr>
        <w:pStyle w:val="2"/>
        <w:rPr>
          <w:rFonts w:hint="eastAsia"/>
          <w:lang w:val="zh-CN"/>
        </w:rPr>
      </w:pPr>
      <w:r>
        <w:rPr>
          <w:rFonts w:hint="eastAsia"/>
          <w:lang w:val="zh-CN"/>
        </w:rPr>
        <w:object>
          <v:shape id="_x0000_i1032" o:spt="75" type="#_x0000_t75" style="height:633pt;width:444.45pt;" o:ole="t" filled="f" o:preferrelative="t" stroked="f" coordsize="21600,21600">
            <v:path/>
            <v:fill on="f" focussize="0,0"/>
            <v:stroke on="f"/>
            <v:imagedata r:id="rId34" o:title=""/>
            <o:lock v:ext="edit" aspectratio="t"/>
            <w10:wrap type="none"/>
            <w10:anchorlock/>
          </v:shape>
          <o:OLEObject Type="Embed" ProgID="Excel.Sheet.8" ShapeID="_x0000_i1032" DrawAspect="Content" ObjectID="_1468075732" r:id="rId33">
            <o:LockedField>false</o:LockedField>
          </o:OLEObject>
        </w:object>
      </w:r>
    </w:p>
    <w:p w14:paraId="5A25F468">
      <w:pPr>
        <w:rPr>
          <w:rFonts w:hint="eastAsia"/>
          <w:lang w:val="zh-CN"/>
        </w:rPr>
      </w:pPr>
    </w:p>
    <w:p w14:paraId="361D1E77">
      <w:pPr>
        <w:pStyle w:val="2"/>
        <w:rPr>
          <w:rFonts w:hint="eastAsia"/>
          <w:lang w:val="zh-CN"/>
        </w:rPr>
      </w:pPr>
      <w:r>
        <w:rPr>
          <w:rFonts w:hint="eastAsia"/>
          <w:lang w:val="zh-CN"/>
        </w:rPr>
        <w:object>
          <v:shape id="_x0000_i1033" o:spt="75" type="#_x0000_t75" style="height:615.2pt;width:437.75pt;" o:ole="t" filled="f" o:preferrelative="t" stroked="f" coordsize="21600,21600">
            <v:path/>
            <v:fill on="f" focussize="0,0"/>
            <v:stroke on="f"/>
            <v:imagedata r:id="rId36" o:title=""/>
            <o:lock v:ext="edit" aspectratio="t"/>
            <w10:wrap type="none"/>
            <w10:anchorlock/>
          </v:shape>
          <o:OLEObject Type="Embed" ProgID="Excel.Sheet.8" ShapeID="_x0000_i1033" DrawAspect="Content" ObjectID="_1468075733" r:id="rId35">
            <o:LockedField>false</o:LockedField>
          </o:OLEObject>
        </w:object>
      </w:r>
    </w:p>
    <w:p w14:paraId="5E3FCFB6">
      <w:pPr>
        <w:rPr>
          <w:rFonts w:hint="eastAsia"/>
          <w:lang w:val="zh-CN"/>
        </w:rPr>
      </w:pPr>
    </w:p>
    <w:p w14:paraId="78D4EB31">
      <w:pPr>
        <w:rPr>
          <w:rFonts w:hint="eastAsia" w:eastAsia="宋体"/>
          <w:lang w:val="en-US" w:eastAsia="zh-CN"/>
        </w:rPr>
      </w:pPr>
      <w:r>
        <w:rPr>
          <w:rFonts w:hint="eastAsia" w:eastAsia="宋体"/>
          <w:lang w:val="en-US" w:eastAsia="zh-CN"/>
        </w:rPr>
        <w:object>
          <v:shape id="_x0000_i1034" o:spt="75" type="#_x0000_t75" style="height:654.85pt;width:451.95pt;" o:ole="t" filled="f" o:preferrelative="t" stroked="f" coordsize="21600,21600">
            <v:path/>
            <v:fill on="f" focussize="0,0"/>
            <v:stroke on="f"/>
            <v:imagedata r:id="rId38" o:title=""/>
            <o:lock v:ext="edit" aspectratio="t"/>
            <w10:wrap type="none"/>
            <w10:anchorlock/>
          </v:shape>
          <o:OLEObject Type="Embed" ProgID="Excel.Sheet.8" ShapeID="_x0000_i1034" DrawAspect="Content" ObjectID="_1468075734" r:id="rId37">
            <o:LockedField>false</o:LockedField>
          </o:OLEObject>
        </w:object>
      </w:r>
    </w:p>
    <w:p w14:paraId="67CAE0A7">
      <w:pPr>
        <w:rPr>
          <w:rFonts w:hint="eastAsia" w:ascii="黑体" w:hAnsi="黑体" w:eastAsia="黑体"/>
          <w:lang w:eastAsia="zh-CN"/>
        </w:rPr>
      </w:pPr>
    </w:p>
    <w:p w14:paraId="33322083">
      <w:pPr>
        <w:pStyle w:val="2"/>
        <w:rPr>
          <w:rFonts w:hint="eastAsia" w:ascii="黑体" w:hAnsi="黑体" w:eastAsia="黑体"/>
          <w:lang w:eastAsia="zh-CN"/>
        </w:rPr>
      </w:pPr>
      <w:r>
        <w:rPr>
          <w:rFonts w:hint="eastAsia" w:ascii="黑体" w:hAnsi="黑体" w:eastAsia="黑体"/>
          <w:lang w:eastAsia="zh-CN"/>
        </w:rPr>
        <w:object>
          <v:shape id="_x0000_i1035" o:spt="75" type="#_x0000_t75" style="height:658.6pt;width:447.2pt;" o:ole="t" filled="f" o:preferrelative="t" stroked="f" coordsize="21600,21600">
            <v:path/>
            <v:fill on="f" focussize="0,0"/>
            <v:stroke on="f"/>
            <v:imagedata r:id="rId40" o:title=""/>
            <o:lock v:ext="edit" aspectratio="t"/>
            <w10:wrap type="none"/>
            <w10:anchorlock/>
          </v:shape>
          <o:OLEObject Type="Embed" ProgID="Excel.Sheet.8" ShapeID="_x0000_i1035" DrawAspect="Content" ObjectID="_1468075735" r:id="rId39">
            <o:LockedField>false</o:LockedField>
          </o:OLEObject>
        </w:object>
      </w:r>
    </w:p>
    <w:p w14:paraId="3396CE1F">
      <w:pPr>
        <w:pStyle w:val="2"/>
        <w:rPr>
          <w:rFonts w:hint="eastAsia" w:ascii="黑体" w:hAnsi="黑体" w:eastAsia="黑体"/>
          <w:lang w:eastAsia="zh-CN"/>
        </w:rPr>
      </w:pPr>
      <w:r>
        <w:rPr>
          <w:rFonts w:hint="eastAsia" w:ascii="黑体" w:hAnsi="黑体" w:eastAsia="黑体"/>
          <w:lang w:eastAsia="zh-CN"/>
        </w:rPr>
        <w:object>
          <v:shape id="_x0000_i1036" o:spt="75" type="#_x0000_t75" style="height:670.55pt;width:445.6pt;" o:ole="t" filled="f" o:preferrelative="t" stroked="f" coordsize="21600,21600">
            <v:path/>
            <v:fill on="f" focussize="0,0"/>
            <v:stroke on="f"/>
            <v:imagedata r:id="rId42" o:title=""/>
            <o:lock v:ext="edit" aspectratio="t"/>
            <w10:wrap type="none"/>
            <w10:anchorlock/>
          </v:shape>
          <o:OLEObject Type="Embed" ProgID="Excel.Sheet.8" ShapeID="_x0000_i1036" DrawAspect="Content" ObjectID="_1468075736" r:id="rId41">
            <o:LockedField>false</o:LockedField>
          </o:OLEObject>
        </w:object>
      </w:r>
    </w:p>
    <w:p w14:paraId="047632F2">
      <w:pPr>
        <w:rPr>
          <w:rFonts w:hint="eastAsia" w:ascii="黑体" w:hAnsi="黑体" w:eastAsia="黑体"/>
          <w:lang w:eastAsia="zh-CN"/>
        </w:rPr>
      </w:pPr>
      <w:r>
        <w:rPr>
          <w:rFonts w:hint="eastAsia" w:ascii="黑体" w:hAnsi="黑体" w:eastAsia="黑体"/>
          <w:lang w:eastAsia="zh-CN"/>
        </w:rPr>
        <w:object>
          <v:shape id="_x0000_i1037" o:spt="75" type="#_x0000_t75" style="height:649.15pt;width:463.55pt;" o:ole="t" filled="f" o:preferrelative="t" stroked="f" coordsize="21600,21600">
            <v:path/>
            <v:fill on="f" focussize="0,0"/>
            <v:stroke on="f"/>
            <v:imagedata r:id="rId44" o:title=""/>
            <o:lock v:ext="edit" aspectratio="t"/>
            <w10:wrap type="none"/>
            <w10:anchorlock/>
          </v:shape>
          <o:OLEObject Type="Embed" ProgID="Excel.Sheet.8" ShapeID="_x0000_i1037" DrawAspect="Content" ObjectID="_1468075737" r:id="rId43">
            <o:LockedField>false</o:LockedField>
          </o:OLEObject>
        </w:object>
      </w:r>
    </w:p>
    <w:p w14:paraId="0A8812F0">
      <w:pPr>
        <w:pStyle w:val="2"/>
        <w:rPr>
          <w:rFonts w:hint="eastAsia" w:ascii="黑体" w:hAnsi="黑体" w:eastAsia="黑体"/>
          <w:lang w:eastAsia="zh-CN"/>
        </w:rPr>
      </w:pPr>
      <w:r>
        <w:rPr>
          <w:rFonts w:hint="eastAsia" w:ascii="黑体" w:hAnsi="黑体" w:eastAsia="黑体"/>
          <w:lang w:eastAsia="zh-CN"/>
        </w:rPr>
        <w:object>
          <v:shape id="_x0000_i1038" o:spt="75" type="#_x0000_t75" style="height:628.65pt;width:444.95pt;" o:ole="t" filled="f" o:preferrelative="t" stroked="f" coordsize="21600,21600">
            <v:path/>
            <v:fill on="f" focussize="0,0"/>
            <v:stroke on="f"/>
            <v:imagedata r:id="rId46" o:title=""/>
            <o:lock v:ext="edit" aspectratio="t"/>
            <w10:wrap type="none"/>
            <w10:anchorlock/>
          </v:shape>
          <o:OLEObject Type="Embed" ProgID="Excel.Sheet.8" ShapeID="_x0000_i1038" DrawAspect="Content" ObjectID="_1468075738" r:id="rId45">
            <o:LockedField>false</o:LockedField>
          </o:OLEObject>
        </w:object>
      </w:r>
    </w:p>
    <w:p w14:paraId="71293098">
      <w:pPr>
        <w:rPr>
          <w:rFonts w:hint="eastAsia" w:ascii="黑体" w:hAnsi="黑体" w:eastAsia="黑体"/>
          <w:lang w:eastAsia="zh-CN"/>
        </w:rPr>
      </w:pPr>
    </w:p>
    <w:p w14:paraId="378967B0">
      <w:pPr>
        <w:pStyle w:val="2"/>
        <w:rPr>
          <w:rFonts w:hint="eastAsia" w:ascii="黑体" w:hAnsi="黑体" w:eastAsia="黑体"/>
          <w:lang w:eastAsia="zh-CN"/>
        </w:rPr>
      </w:pPr>
      <w:r>
        <w:rPr>
          <w:rFonts w:hint="eastAsia" w:ascii="黑体" w:hAnsi="黑体" w:eastAsia="黑体"/>
          <w:lang w:eastAsia="zh-CN"/>
        </w:rPr>
        <w:object>
          <v:shape id="_x0000_i1039" o:spt="75" type="#_x0000_t75" style="height:660.1pt;width:448pt;" o:ole="t" filled="f" o:preferrelative="t" stroked="f" coordsize="21600,21600">
            <v:path/>
            <v:fill on="f" focussize="0,0"/>
            <v:stroke on="f"/>
            <v:imagedata r:id="rId48" o:title=""/>
            <o:lock v:ext="edit" aspectratio="t"/>
            <w10:wrap type="none"/>
            <w10:anchorlock/>
          </v:shape>
          <o:OLEObject Type="Embed" ProgID="Excel.Sheet.8" ShapeID="_x0000_i1039" DrawAspect="Content" ObjectID="_1468075739" r:id="rId47">
            <o:LockedField>false</o:LockedField>
          </o:OLEObject>
        </w:object>
      </w:r>
    </w:p>
    <w:p w14:paraId="72C4B1AE">
      <w:pPr>
        <w:rPr>
          <w:rFonts w:hint="eastAsia" w:ascii="黑体" w:hAnsi="黑体" w:eastAsia="黑体"/>
          <w:lang w:eastAsia="zh-CN"/>
        </w:rPr>
      </w:pPr>
      <w:r>
        <w:rPr>
          <w:rFonts w:hint="eastAsia" w:ascii="黑体" w:hAnsi="黑体" w:eastAsia="黑体"/>
          <w:lang w:eastAsia="zh-CN"/>
        </w:rPr>
        <w:object>
          <v:shape id="_x0000_i1040" o:spt="75" type="#_x0000_t75" style="height:645.05pt;width:451.25pt;" o:ole="t" filled="f" o:preferrelative="t" stroked="f" coordsize="21600,21600">
            <v:path/>
            <v:fill on="f" focussize="0,0"/>
            <v:stroke on="f"/>
            <v:imagedata r:id="rId50" o:title=""/>
            <o:lock v:ext="edit" aspectratio="t"/>
            <w10:wrap type="none"/>
            <w10:anchorlock/>
          </v:shape>
          <o:OLEObject Type="Embed" ProgID="Excel.Sheet.8" ShapeID="_x0000_i1040" DrawAspect="Content" ObjectID="_1468075740" r:id="rId49">
            <o:LockedField>false</o:LockedField>
          </o:OLEObject>
        </w:object>
      </w:r>
    </w:p>
    <w:p w14:paraId="311F6582">
      <w:pPr>
        <w:pStyle w:val="2"/>
        <w:rPr>
          <w:rFonts w:hint="eastAsia" w:ascii="黑体" w:hAnsi="黑体" w:eastAsia="黑体"/>
          <w:lang w:eastAsia="zh-CN"/>
        </w:rPr>
      </w:pPr>
      <w:r>
        <w:rPr>
          <w:rFonts w:hint="eastAsia" w:ascii="黑体" w:hAnsi="黑体" w:eastAsia="黑体"/>
          <w:lang w:eastAsia="zh-CN"/>
        </w:rPr>
        <w:object>
          <v:shape id="_x0000_i1041" o:spt="75" type="#_x0000_t75" style="height:671.2pt;width:453.9pt;" o:ole="t" filled="f" o:preferrelative="t" stroked="f" coordsize="21600,21600">
            <v:path/>
            <v:fill on="f" focussize="0,0"/>
            <v:stroke on="f"/>
            <v:imagedata r:id="rId52" o:title=""/>
            <o:lock v:ext="edit" aspectratio="t"/>
            <w10:wrap type="none"/>
            <w10:anchorlock/>
          </v:shape>
          <o:OLEObject Type="Embed" ProgID="Excel.Sheet.8" ShapeID="_x0000_i1041" DrawAspect="Content" ObjectID="_1468075741" r:id="rId51">
            <o:LockedField>false</o:LockedField>
          </o:OLEObject>
        </w:object>
      </w:r>
      <w:r>
        <w:rPr>
          <w:rFonts w:hint="eastAsia" w:ascii="黑体" w:hAnsi="黑体" w:eastAsia="黑体"/>
          <w:lang w:eastAsia="zh-CN"/>
        </w:rPr>
        <w:object>
          <v:shape id="_x0000_i1042" o:spt="75" type="#_x0000_t75" style="height:642.8pt;width:451.75pt;" o:ole="t" filled="f" o:preferrelative="t" stroked="f" coordsize="21600,21600">
            <v:path/>
            <v:fill on="f" focussize="0,0"/>
            <v:stroke on="f"/>
            <v:imagedata r:id="rId54" o:title=""/>
            <o:lock v:ext="edit" aspectratio="t"/>
            <w10:wrap type="none"/>
            <w10:anchorlock/>
          </v:shape>
          <o:OLEObject Type="Embed" ProgID="Excel.Sheet.8" ShapeID="_x0000_i1042" DrawAspect="Content" ObjectID="_1468075742" r:id="rId53">
            <o:LockedField>false</o:LockedField>
          </o:OLEObject>
        </w:object>
      </w:r>
    </w:p>
    <w:p w14:paraId="1BBAECA2">
      <w:pPr>
        <w:rPr>
          <w:rFonts w:hint="eastAsia" w:ascii="黑体" w:hAnsi="黑体" w:eastAsia="黑体"/>
          <w:lang w:eastAsia="zh-CN"/>
        </w:rPr>
      </w:pPr>
      <w:r>
        <w:rPr>
          <w:rFonts w:hint="eastAsia" w:ascii="黑体" w:hAnsi="黑体" w:eastAsia="黑体"/>
          <w:lang w:eastAsia="zh-CN"/>
        </w:rPr>
        <w:object>
          <v:shape id="_x0000_i1043" o:spt="75" type="#_x0000_t75" style="height:653.25pt;width:443.65pt;" o:ole="t" filled="f" o:preferrelative="t" stroked="f" coordsize="21600,21600">
            <v:path/>
            <v:fill on="f" focussize="0,0"/>
            <v:stroke on="f"/>
            <v:imagedata r:id="rId56" o:title=""/>
            <o:lock v:ext="edit" aspectratio="t"/>
            <w10:wrap type="none"/>
            <w10:anchorlock/>
          </v:shape>
          <o:OLEObject Type="Embed" ProgID="Excel.Sheet.8" ShapeID="_x0000_i1043" DrawAspect="Content" ObjectID="_1468075743" r:id="rId55">
            <o:LockedField>false</o:LockedField>
          </o:OLEObject>
        </w:object>
      </w:r>
    </w:p>
    <w:p w14:paraId="0D25140B">
      <w:pPr>
        <w:pStyle w:val="2"/>
        <w:rPr>
          <w:rFonts w:hint="eastAsia" w:ascii="黑体" w:hAnsi="黑体" w:eastAsia="黑体"/>
          <w:lang w:eastAsia="zh-CN"/>
        </w:rPr>
      </w:pPr>
      <w:r>
        <w:rPr>
          <w:rFonts w:hint="eastAsia" w:ascii="黑体" w:hAnsi="黑体" w:eastAsia="黑体"/>
          <w:lang w:eastAsia="zh-CN"/>
        </w:rPr>
        <w:object>
          <v:shape id="_x0000_i1044" o:spt="75" type="#_x0000_t75" style="height:643pt;width:443.1pt;" o:ole="t" filled="f" o:preferrelative="t" stroked="f" coordsize="21600,21600">
            <v:path/>
            <v:fill on="f" focussize="0,0"/>
            <v:stroke on="f"/>
            <v:imagedata r:id="rId58" o:title=""/>
            <o:lock v:ext="edit" aspectratio="t"/>
            <w10:wrap type="none"/>
            <w10:anchorlock/>
          </v:shape>
          <o:OLEObject Type="Embed" ProgID="Excel.Sheet.8" ShapeID="_x0000_i1044" DrawAspect="Content" ObjectID="_1468075744" r:id="rId57">
            <o:LockedField>false</o:LockedField>
          </o:OLEObject>
        </w:object>
      </w:r>
    </w:p>
    <w:p w14:paraId="7D1E4494">
      <w:pPr>
        <w:rPr>
          <w:rFonts w:hint="eastAsia" w:ascii="黑体" w:hAnsi="黑体" w:eastAsia="黑体"/>
          <w:lang w:eastAsia="zh-CN"/>
        </w:rPr>
      </w:pPr>
      <w:r>
        <w:rPr>
          <w:rFonts w:hint="eastAsia" w:ascii="黑体" w:hAnsi="黑体" w:eastAsia="黑体"/>
          <w:lang w:eastAsia="zh-CN"/>
        </w:rPr>
        <w:object>
          <v:shape id="_x0000_i1045" o:spt="75" type="#_x0000_t75" style="height:688.55pt;width:441.85pt;" o:ole="t" filled="f" o:preferrelative="t" stroked="f" coordsize="21600,21600">
            <v:path/>
            <v:fill on="f" focussize="0,0"/>
            <v:stroke on="f"/>
            <v:imagedata r:id="rId60" o:title=""/>
            <o:lock v:ext="edit" aspectratio="t"/>
            <w10:wrap type="none"/>
            <w10:anchorlock/>
          </v:shape>
          <o:OLEObject Type="Embed" ProgID="Excel.Sheet.8" ShapeID="_x0000_i1045" DrawAspect="Content" ObjectID="_1468075745" r:id="rId59">
            <o:LockedField>false</o:LockedField>
          </o:OLEObject>
        </w:object>
      </w:r>
      <w:r>
        <w:rPr>
          <w:rFonts w:hint="eastAsia" w:ascii="黑体" w:hAnsi="黑体" w:eastAsia="黑体"/>
          <w:lang w:eastAsia="zh-CN"/>
        </w:rPr>
        <w:object>
          <v:shape id="_x0000_i1046" o:spt="75" type="#_x0000_t75" style="height:649.65pt;width:464.6pt;" o:ole="t" filled="f" o:preferrelative="t" stroked="f" coordsize="21600,21600">
            <v:path/>
            <v:fill on="f" focussize="0,0"/>
            <v:stroke on="f"/>
            <v:imagedata r:id="rId62" o:title=""/>
            <o:lock v:ext="edit" aspectratio="t"/>
            <w10:wrap type="none"/>
            <w10:anchorlock/>
          </v:shape>
          <o:OLEObject Type="Embed" ProgID="Excel.Sheet.8" ShapeID="_x0000_i1046" DrawAspect="Content" ObjectID="_1468075746" r:id="rId61">
            <o:LockedField>false</o:LockedField>
          </o:OLEObject>
        </w:object>
      </w:r>
    </w:p>
    <w:p w14:paraId="053322F7">
      <w:pPr>
        <w:pStyle w:val="2"/>
        <w:rPr>
          <w:rFonts w:hint="eastAsia" w:ascii="黑体" w:hAnsi="黑体" w:eastAsia="黑体"/>
          <w:lang w:eastAsia="zh-CN"/>
        </w:rPr>
      </w:pPr>
      <w:r>
        <w:rPr>
          <w:rFonts w:hint="eastAsia" w:ascii="黑体" w:hAnsi="黑体" w:eastAsia="黑体"/>
          <w:lang w:eastAsia="zh-CN"/>
        </w:rPr>
        <w:object>
          <v:shape id="_x0000_i1047" o:spt="75" type="#_x0000_t75" style="height:624.75pt;width:459.8pt;" o:ole="t" filled="f" o:preferrelative="t" stroked="f" coordsize="21600,21600">
            <v:path/>
            <v:fill on="f" focussize="0,0"/>
            <v:stroke on="f"/>
            <v:imagedata r:id="rId64" o:title=""/>
            <o:lock v:ext="edit" aspectratio="t"/>
            <w10:wrap type="none"/>
            <w10:anchorlock/>
          </v:shape>
          <o:OLEObject Type="Embed" ProgID="Excel.Sheet.8" ShapeID="_x0000_i1047" DrawAspect="Content" ObjectID="_1468075747" r:id="rId63">
            <o:LockedField>false</o:LockedField>
          </o:OLEObject>
        </w:object>
      </w:r>
    </w:p>
    <w:p w14:paraId="6DAC13CB">
      <w:pPr>
        <w:rPr>
          <w:rFonts w:hint="eastAsia"/>
          <w:lang w:eastAsia="zh-CN"/>
        </w:rPr>
      </w:pPr>
    </w:p>
    <w:p w14:paraId="73E6E458">
      <w:pPr>
        <w:pStyle w:val="2"/>
        <w:rPr>
          <w:rFonts w:hint="eastAsia"/>
          <w:lang w:eastAsia="zh-CN"/>
        </w:rPr>
      </w:pPr>
      <w:r>
        <w:rPr>
          <w:rFonts w:hint="eastAsia"/>
          <w:lang w:eastAsia="zh-CN"/>
        </w:rPr>
        <w:object>
          <v:shape id="_x0000_i1048" o:spt="75" type="#_x0000_t75" style="height:615pt;width:457.45pt;" o:ole="t" filled="f" o:preferrelative="t" stroked="f" coordsize="21600,21600">
            <v:path/>
            <v:fill on="f" focussize="0,0"/>
            <v:stroke on="f"/>
            <v:imagedata r:id="rId66" o:title=""/>
            <o:lock v:ext="edit" aspectratio="t"/>
            <w10:wrap type="none"/>
            <w10:anchorlock/>
          </v:shape>
          <o:OLEObject Type="Embed" ProgID="Excel.Sheet.8" ShapeID="_x0000_i1048" DrawAspect="Content" ObjectID="_1468075748" r:id="rId65">
            <o:LockedField>false</o:LockedField>
          </o:OLEObject>
        </w:object>
      </w:r>
    </w:p>
    <w:p w14:paraId="5735E322">
      <w:pPr>
        <w:rPr>
          <w:rFonts w:hint="eastAsia"/>
          <w:lang w:eastAsia="zh-CN"/>
        </w:rPr>
      </w:pPr>
    </w:p>
    <w:p w14:paraId="0CFF32A6">
      <w:pPr>
        <w:pStyle w:val="2"/>
        <w:rPr>
          <w:rFonts w:hint="eastAsia"/>
          <w:lang w:eastAsia="zh-CN"/>
        </w:rPr>
      </w:pPr>
      <w:r>
        <w:rPr>
          <w:rFonts w:hint="eastAsia"/>
          <w:lang w:eastAsia="zh-CN"/>
        </w:rPr>
        <w:object>
          <v:shape id="_x0000_i1049" o:spt="75" type="#_x0000_t75" style="height:645.9pt;width:442.95pt;" o:ole="t" filled="f" o:preferrelative="t" stroked="f" coordsize="21600,21600">
            <v:path/>
            <v:fill on="f" focussize="0,0"/>
            <v:stroke on="f"/>
            <v:imagedata r:id="rId68" o:title=""/>
            <o:lock v:ext="edit" aspectratio="t"/>
            <w10:wrap type="none"/>
            <w10:anchorlock/>
          </v:shape>
          <o:OLEObject Type="Embed" ProgID="Excel.Sheet.8" ShapeID="_x0000_i1049" DrawAspect="Content" ObjectID="_1468075749" r:id="rId67">
            <o:LockedField>false</o:LockedField>
          </o:OLEObject>
        </w:object>
      </w:r>
    </w:p>
    <w:p w14:paraId="04CDCC24">
      <w:pPr>
        <w:pStyle w:val="3"/>
        <w:pageBreakBefore w:val="0"/>
        <w:kinsoku/>
        <w:wordWrap/>
        <w:overflowPunct/>
        <w:topLinePunct w:val="0"/>
        <w:bidi w:val="0"/>
        <w:spacing w:line="440" w:lineRule="exact"/>
        <w:jc w:val="both"/>
        <w:rPr>
          <w:rFonts w:hint="eastAsia" w:ascii="黑体" w:hAnsi="黑体" w:eastAsia="黑体"/>
          <w:lang w:eastAsia="zh-CN"/>
        </w:rPr>
      </w:pPr>
    </w:p>
    <w:p w14:paraId="5C91A532">
      <w:pPr>
        <w:rPr>
          <w:rFonts w:hint="eastAsia" w:ascii="黑体" w:hAnsi="黑体" w:eastAsia="黑体"/>
          <w:lang w:eastAsia="zh-CN"/>
        </w:rPr>
      </w:pPr>
      <w:r>
        <w:rPr>
          <w:rFonts w:hint="eastAsia" w:ascii="黑体" w:hAnsi="黑体" w:eastAsia="黑体"/>
          <w:lang w:eastAsia="zh-CN"/>
        </w:rPr>
        <w:object>
          <v:shape id="_x0000_i1050" o:spt="75" type="#_x0000_t75" style="height:542.45pt;width:442pt;" o:ole="t" filled="f" o:preferrelative="t" stroked="f" coordsize="21600,21600">
            <v:path/>
            <v:fill on="f" focussize="0,0"/>
            <v:stroke on="f"/>
            <v:imagedata r:id="rId69" o:title=""/>
            <o:lock v:ext="edit" aspectratio="t"/>
            <w10:wrap type="none"/>
            <w10:anchorlock/>
          </v:shape>
          <o:OLEObject Type="Link" ProgID="Excel.Sheet.8" ShapeID="_x0000_i1050" UpdateMode="Always" DrawAspect="Content" ObjectID="_1468075750" r:id="rId70">
            <o:LinkType>EnhancedMetaFile</o:LinkType>
            <o:LockedField>false</o:LockedField>
          </o:OLEObject>
        </w:object>
      </w:r>
    </w:p>
    <w:p w14:paraId="1A00426E">
      <w:pPr>
        <w:pStyle w:val="2"/>
        <w:rPr>
          <w:rFonts w:hint="eastAsia"/>
          <w:lang w:eastAsia="zh-CN"/>
        </w:rPr>
      </w:pPr>
      <w:r>
        <w:rPr>
          <w:rFonts w:hint="eastAsia"/>
          <w:lang w:eastAsia="zh-CN"/>
        </w:rPr>
        <w:object>
          <v:shape id="_x0000_i1051" o:spt="75" type="#_x0000_t75" style="height:634.55pt;width:452.5pt;" o:ole="t" filled="f" o:preferrelative="t" stroked="f" coordsize="21600,21600">
            <v:path/>
            <v:fill on="f" focussize="0,0"/>
            <v:stroke on="f"/>
            <v:imagedata r:id="rId72" o:title=""/>
            <o:lock v:ext="edit" aspectratio="t"/>
            <w10:wrap type="none"/>
            <w10:anchorlock/>
          </v:shape>
          <o:OLEObject Type="Embed" ProgID="Excel.Sheet.8" ShapeID="_x0000_i1051" DrawAspect="Content" ObjectID="_1468075751" r:id="rId71">
            <o:LockedField>false</o:LockedField>
          </o:OLEObject>
        </w:object>
      </w:r>
    </w:p>
    <w:p w14:paraId="418EA2E0">
      <w:pPr>
        <w:rPr>
          <w:rFonts w:hint="eastAsia"/>
          <w:lang w:eastAsia="zh-CN"/>
        </w:rPr>
      </w:pPr>
    </w:p>
    <w:p w14:paraId="65D558A1">
      <w:pPr>
        <w:pStyle w:val="2"/>
        <w:rPr>
          <w:rFonts w:hint="eastAsia"/>
          <w:lang w:eastAsia="zh-CN"/>
        </w:rPr>
      </w:pPr>
      <w:r>
        <w:rPr>
          <w:rFonts w:hint="eastAsia"/>
          <w:lang w:eastAsia="zh-CN"/>
        </w:rPr>
        <w:object>
          <v:shape id="_x0000_i1052" o:spt="75" type="#_x0000_t75" style="height:627.75pt;width:449.5pt;" o:ole="t" filled="f" o:preferrelative="t" stroked="f" coordsize="21600,21600">
            <v:path/>
            <v:fill on="f" focussize="0,0"/>
            <v:stroke on="f"/>
            <v:imagedata r:id="rId74" o:title=""/>
            <o:lock v:ext="edit" aspectratio="t"/>
            <w10:wrap type="none"/>
            <w10:anchorlock/>
          </v:shape>
          <o:OLEObject Type="Embed" ProgID="Excel.Sheet.8" ShapeID="_x0000_i1052" DrawAspect="Content" ObjectID="_1468075752" r:id="rId73">
            <o:LockedField>false</o:LockedField>
          </o:OLEObject>
        </w:object>
      </w:r>
    </w:p>
    <w:p w14:paraId="206CD81C">
      <w:pPr>
        <w:rPr>
          <w:rFonts w:hint="eastAsia"/>
          <w:lang w:eastAsia="zh-CN"/>
        </w:rPr>
      </w:pPr>
    </w:p>
    <w:p w14:paraId="7EDA8255">
      <w:pPr>
        <w:pStyle w:val="2"/>
        <w:rPr>
          <w:rFonts w:hint="eastAsia"/>
          <w:lang w:eastAsia="zh-CN"/>
        </w:rPr>
      </w:pPr>
      <w:r>
        <w:rPr>
          <w:rFonts w:hint="eastAsia"/>
          <w:lang w:eastAsia="zh-CN"/>
        </w:rPr>
        <w:object>
          <v:shape id="_x0000_i1053" o:spt="75" type="#_x0000_t75" style="height:644.25pt;width:447.95pt;" o:ole="t" filled="f" o:preferrelative="t" stroked="f" coordsize="21600,21600">
            <v:path/>
            <v:fill on="f" focussize="0,0"/>
            <v:stroke on="f"/>
            <v:imagedata r:id="rId76" o:title=""/>
            <o:lock v:ext="edit" aspectratio="t"/>
            <w10:wrap type="none"/>
            <w10:anchorlock/>
          </v:shape>
          <o:OLEObject Type="Embed" ProgID="Excel.Sheet.8" ShapeID="_x0000_i1053" DrawAspect="Content" ObjectID="_1468075753" r:id="rId75">
            <o:LockedField>false</o:LockedField>
          </o:OLEObject>
        </w:object>
      </w:r>
    </w:p>
    <w:p w14:paraId="07F0F77D">
      <w:pPr>
        <w:pStyle w:val="2"/>
        <w:rPr>
          <w:rFonts w:hint="eastAsia"/>
          <w:lang w:eastAsia="zh-CN"/>
        </w:rPr>
      </w:pPr>
      <w:r>
        <w:rPr>
          <w:rFonts w:hint="eastAsia"/>
          <w:lang w:eastAsia="zh-CN"/>
        </w:rPr>
        <w:object>
          <v:shape id="_x0000_i1054" o:spt="75" type="#_x0000_t75" style="height:643.6pt;width:454.7pt;" o:ole="t" filled="f" o:preferrelative="t" stroked="f" coordsize="21600,21600">
            <v:path/>
            <v:fill on="f" focussize="0,0"/>
            <v:stroke on="f"/>
            <v:imagedata r:id="rId78" o:title=""/>
            <o:lock v:ext="edit" aspectratio="t"/>
            <w10:wrap type="none"/>
            <w10:anchorlock/>
          </v:shape>
          <o:OLEObject Type="Embed" ProgID="Excel.Sheet.8" ShapeID="_x0000_i1054" DrawAspect="Content" ObjectID="_1468075754" r:id="rId77">
            <o:LockedField>false</o:LockedField>
          </o:OLEObject>
        </w:object>
      </w:r>
    </w:p>
    <w:p w14:paraId="6FC7C2C4">
      <w:pPr>
        <w:rPr>
          <w:rFonts w:hint="eastAsia"/>
          <w:lang w:eastAsia="zh-CN"/>
        </w:rPr>
      </w:pPr>
      <w:r>
        <w:rPr>
          <w:rFonts w:hint="eastAsia"/>
          <w:lang w:eastAsia="zh-CN"/>
        </w:rPr>
        <w:object>
          <v:shape id="_x0000_i1055" o:spt="75" type="#_x0000_t75" style="height:618.15pt;width:454.15pt;" o:ole="t" filled="f" o:preferrelative="t" stroked="f" coordsize="21600,21600">
            <v:path/>
            <v:fill on="f" focussize="0,0"/>
            <v:stroke on="f"/>
            <v:imagedata r:id="rId80" o:title=""/>
            <o:lock v:ext="edit" aspectratio="t"/>
            <w10:wrap type="none"/>
            <w10:anchorlock/>
          </v:shape>
          <o:OLEObject Type="Embed" ProgID="Excel.Sheet.8" ShapeID="_x0000_i1055" DrawAspect="Content" ObjectID="_1468075755" r:id="rId79">
            <o:LockedField>false</o:LockedField>
          </o:OLEObject>
        </w:object>
      </w:r>
    </w:p>
    <w:p w14:paraId="257A17A9">
      <w:pPr>
        <w:rPr>
          <w:rFonts w:hint="eastAsia"/>
          <w:lang w:eastAsia="zh-CN"/>
        </w:rPr>
      </w:pPr>
    </w:p>
    <w:p w14:paraId="5469AD35">
      <w:pPr>
        <w:pStyle w:val="2"/>
        <w:rPr>
          <w:rFonts w:hint="eastAsia"/>
          <w:lang w:eastAsia="zh-CN"/>
        </w:rPr>
      </w:pPr>
      <w:r>
        <w:rPr>
          <w:rFonts w:hint="eastAsia"/>
          <w:lang w:eastAsia="zh-CN"/>
        </w:rPr>
        <w:object>
          <v:shape id="_x0000_i1056" o:spt="75" type="#_x0000_t75" style="height:626.25pt;width:448.75pt;" o:ole="t" filled="f" o:preferrelative="t" stroked="f" coordsize="21600,21600">
            <v:path/>
            <v:fill on="f" focussize="0,0"/>
            <v:stroke on="f"/>
            <v:imagedata r:id="rId82" o:title=""/>
            <o:lock v:ext="edit" aspectratio="t"/>
            <w10:wrap type="none"/>
            <w10:anchorlock/>
          </v:shape>
          <o:OLEObject Type="Embed" ProgID="Excel.Sheet.8" ShapeID="_x0000_i1056" DrawAspect="Content" ObjectID="_1468075756" r:id="rId81">
            <o:LockedField>false</o:LockedField>
          </o:OLEObject>
        </w:object>
      </w:r>
    </w:p>
    <w:p w14:paraId="5272A019">
      <w:pPr>
        <w:rPr>
          <w:rFonts w:hint="eastAsia"/>
          <w:lang w:eastAsia="zh-CN"/>
        </w:rPr>
      </w:pPr>
    </w:p>
    <w:p w14:paraId="72CD91DB">
      <w:pPr>
        <w:pStyle w:val="2"/>
        <w:rPr>
          <w:rFonts w:hint="eastAsia"/>
          <w:lang w:eastAsia="zh-CN"/>
        </w:rPr>
      </w:pPr>
      <w:r>
        <w:rPr>
          <w:rFonts w:hint="eastAsia"/>
          <w:lang w:eastAsia="zh-CN"/>
        </w:rPr>
        <w:object>
          <v:shape id="_x0000_i1057" o:spt="75" type="#_x0000_t75" style="height:651.8pt;width:441.25pt;" o:ole="t" filled="f" o:preferrelative="t" stroked="f" coordsize="21600,21600">
            <v:path/>
            <v:fill on="f" focussize="0,0"/>
            <v:stroke on="f"/>
            <v:imagedata r:id="rId84" o:title=""/>
            <o:lock v:ext="edit" aspectratio="t"/>
            <w10:wrap type="none"/>
            <w10:anchorlock/>
          </v:shape>
          <o:OLEObject Type="Embed" ProgID="Excel.Sheet.8" ShapeID="_x0000_i1057" DrawAspect="Content" ObjectID="_1468075757" r:id="rId83">
            <o:LockedField>false</o:LockedField>
          </o:OLEObject>
        </w:object>
      </w:r>
    </w:p>
    <w:p w14:paraId="31EDA737">
      <w:pPr>
        <w:pStyle w:val="3"/>
        <w:pageBreakBefore w:val="0"/>
        <w:kinsoku/>
        <w:wordWrap/>
        <w:overflowPunct/>
        <w:topLinePunct w:val="0"/>
        <w:bidi w:val="0"/>
        <w:spacing w:line="440" w:lineRule="exact"/>
        <w:jc w:val="center"/>
        <w:rPr>
          <w:rFonts w:ascii="黑体" w:hAnsi="黑体" w:eastAsia="黑体"/>
        </w:rPr>
      </w:pPr>
      <w:r>
        <w:rPr>
          <w:rFonts w:hint="eastAsia" w:ascii="黑体" w:hAnsi="黑体" w:eastAsia="黑体"/>
        </w:rPr>
        <w:t>第五部分 附表</w:t>
      </w:r>
    </w:p>
    <w:p w14:paraId="1EC16222">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一、收入支出决算总表</w:t>
      </w:r>
    </w:p>
    <w:p w14:paraId="21675AE3">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二、收入决算表</w:t>
      </w:r>
    </w:p>
    <w:p w14:paraId="1361AFE4">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三、支出决算表</w:t>
      </w:r>
    </w:p>
    <w:p w14:paraId="0A263FF6">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四、财政拨款收入支出决算总表</w:t>
      </w:r>
    </w:p>
    <w:p w14:paraId="5028014E">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五、财政拨款支出决算明细表</w:t>
      </w:r>
    </w:p>
    <w:p w14:paraId="2B5642AD">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六、一般公共预算财政拨款支出决算表</w:t>
      </w:r>
    </w:p>
    <w:p w14:paraId="33430264">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七、一般公共预算财政拨款支出决算明细表</w:t>
      </w:r>
    </w:p>
    <w:p w14:paraId="1A6C04A3">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八、一般公共预算财政拨款基本支出决算表</w:t>
      </w:r>
    </w:p>
    <w:p w14:paraId="227B95F1">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九、一般公共预算财政拨款项目支出决算表</w:t>
      </w:r>
    </w:p>
    <w:p w14:paraId="2D87EC93">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十、政府性基金预算财政拨款收入支出决算表</w:t>
      </w:r>
    </w:p>
    <w:p w14:paraId="3AC57FFC">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十一、国有资本经营预算财政拨款收入支出决算表</w:t>
      </w:r>
    </w:p>
    <w:p w14:paraId="5DFF5A41">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十二、国有资本经营预算财政拨款支出决算表</w:t>
      </w:r>
    </w:p>
    <w:p w14:paraId="5C19F779">
      <w:pPr>
        <w:pageBreakBefore w:val="0"/>
        <w:kinsoku/>
        <w:wordWrap/>
        <w:overflowPunct/>
        <w:topLinePunct w:val="0"/>
        <w:bidi w:val="0"/>
        <w:spacing w:line="440" w:lineRule="exact"/>
        <w:rPr>
          <w:rFonts w:ascii="仿宋" w:hAnsi="仿宋" w:eastAsia="仿宋"/>
          <w:sz w:val="32"/>
          <w:szCs w:val="32"/>
        </w:rPr>
      </w:pPr>
      <w:r>
        <w:rPr>
          <w:rFonts w:hint="eastAsia" w:ascii="仿宋" w:hAnsi="仿宋" w:eastAsia="仿宋"/>
          <w:sz w:val="32"/>
          <w:szCs w:val="32"/>
        </w:rPr>
        <w:t>十三、财政拨款“三公”经费支出决算表</w:t>
      </w:r>
    </w:p>
    <w:sectPr>
      <w:footerReference r:id="rId10" w:type="first"/>
      <w:footerReference r:id="rId9" w:type="default"/>
      <w:pgSz w:w="11906" w:h="16838"/>
      <w:pgMar w:top="1440" w:right="1800" w:bottom="1440" w:left="1800" w:header="851" w:footer="992"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altName w:val="Arial Unicode MS"/>
    <w:panose1 w:val="00000000000000000000"/>
    <w:charset w:val="86"/>
    <w:family w:val="script"/>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Times New Roman Regular">
    <w:altName w:val="Times New Roman"/>
    <w:panose1 w:val="02020503050405090304"/>
    <w:charset w:val="00"/>
    <w:family w:val="auto"/>
    <w:pitch w:val="default"/>
    <w:sig w:usb0="00000000" w:usb1="00000000" w:usb2="00000001" w:usb3="00000000" w:csb0="400001BF" w:csb1="DFF7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609D7">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8F84E">
    <w:pPr>
      <w:pStyle w:val="10"/>
      <w:jc w:val="center"/>
    </w:pPr>
  </w:p>
  <w:p w14:paraId="4A194F75">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738CC">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F18D67">
    <w:pPr>
      <w:pStyle w:val="10"/>
      <w:jc w:val="center"/>
    </w:pPr>
  </w:p>
  <w:p w14:paraId="79C5D1E3">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E67FC0">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CADAB">
    <w:pPr>
      <w:pStyle w:val="11"/>
      <w:pBdr>
        <w:bottom w:val="none" w:color="auto" w:sz="0" w:space="0"/>
      </w:pBd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5165E8">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15165E8">
                    <w:pPr>
                      <w:pStyle w:val="11"/>
                    </w:pPr>
                    <w:r>
                      <w:fldChar w:fldCharType="begin"/>
                    </w:r>
                    <w:r>
                      <w:instrText xml:space="preserve"> PAGE  \* MERGEFORMAT </w:instrText>
                    </w:r>
                    <w:r>
                      <w:fldChar w:fldCharType="separate"/>
                    </w:r>
                    <w:r>
                      <w:t>1</w:t>
                    </w:r>
                    <w:r>
                      <w:fldChar w:fldCharType="end"/>
                    </w: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871508">
    <w:pPr>
      <w:pStyle w:val="11"/>
      <w:rPr>
        <w:rFonts w:hint="default" w:eastAsia="宋体"/>
        <w:lang w:val="en-US" w:eastAsia="zh-CN"/>
      </w:rPr>
    </w:pPr>
    <w:r>
      <w:rPr>
        <w:rFonts w:hint="eastAsia"/>
        <w:lang w:val="en-US" w:eastAsia="zh-CN"/>
      </w:rPr>
      <w:t>29</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17130">
    <w:pPr>
      <w:pStyle w:val="11"/>
      <w:pBdr>
        <w:bottom w:val="none" w:color="auto" w:sz="0" w:space="0"/>
      </w:pBd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C8DDBC">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6C8DDBC">
                    <w:pPr>
                      <w:pStyle w:val="11"/>
                    </w:pPr>
                    <w:r>
                      <w:fldChar w:fldCharType="begin"/>
                    </w:r>
                    <w:r>
                      <w:instrText xml:space="preserve"> PAGE  \* MERGEFORMAT </w:instrText>
                    </w:r>
                    <w:r>
                      <w:fldChar w:fldCharType="separate"/>
                    </w:r>
                    <w:r>
                      <w:t>2</w:t>
                    </w:r>
                    <w:r>
                      <w:fldChar w:fldCharType="end"/>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0C76D41C"/>
    <w:multiLevelType w:val="singleLevel"/>
    <w:tmpl w:val="0C76D41C"/>
    <w:lvl w:ilvl="0" w:tentative="0">
      <w:start w:val="1"/>
      <w:numFmt w:val="chineseCounting"/>
      <w:suff w:val="nothing"/>
      <w:lvlText w:val="%1、"/>
      <w:lvlJc w:val="left"/>
      <w:rPr>
        <w:rFonts w:hint="eastAsia"/>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4E3CEBC"/>
    <w:multiLevelType w:val="singleLevel"/>
    <w:tmpl w:val="34E3CEBC"/>
    <w:lvl w:ilvl="0" w:tentative="0">
      <w:start w:val="3"/>
      <w:numFmt w:val="chineseCounting"/>
      <w:suff w:val="space"/>
      <w:lvlText w:val="第%1部分"/>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yOWQ4ODY3Yjc4ODM2MGIwNmJlMTczNGMwOTkyNGEifQ=="/>
  </w:docVars>
  <w:rsids>
    <w:rsidRoot w:val="00F1361C"/>
    <w:rsid w:val="00014A1C"/>
    <w:rsid w:val="000222C6"/>
    <w:rsid w:val="0002549F"/>
    <w:rsid w:val="00035392"/>
    <w:rsid w:val="000468DB"/>
    <w:rsid w:val="0006487A"/>
    <w:rsid w:val="00065F8F"/>
    <w:rsid w:val="00070A43"/>
    <w:rsid w:val="000768F2"/>
    <w:rsid w:val="00082EAC"/>
    <w:rsid w:val="0009184B"/>
    <w:rsid w:val="00094236"/>
    <w:rsid w:val="0009593C"/>
    <w:rsid w:val="00097322"/>
    <w:rsid w:val="00097358"/>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0E5"/>
    <w:rsid w:val="00174518"/>
    <w:rsid w:val="0018106D"/>
    <w:rsid w:val="001877A7"/>
    <w:rsid w:val="00191536"/>
    <w:rsid w:val="00196687"/>
    <w:rsid w:val="001C0962"/>
    <w:rsid w:val="001C2738"/>
    <w:rsid w:val="001D7531"/>
    <w:rsid w:val="001E737D"/>
    <w:rsid w:val="001F0592"/>
    <w:rsid w:val="001F6419"/>
    <w:rsid w:val="001F7506"/>
    <w:rsid w:val="002006CD"/>
    <w:rsid w:val="00202B36"/>
    <w:rsid w:val="00204B7A"/>
    <w:rsid w:val="00204CDE"/>
    <w:rsid w:val="0021101A"/>
    <w:rsid w:val="00220536"/>
    <w:rsid w:val="00235629"/>
    <w:rsid w:val="00260289"/>
    <w:rsid w:val="00260C38"/>
    <w:rsid w:val="002616C0"/>
    <w:rsid w:val="002643DB"/>
    <w:rsid w:val="00265372"/>
    <w:rsid w:val="002662AA"/>
    <w:rsid w:val="00280496"/>
    <w:rsid w:val="00283D47"/>
    <w:rsid w:val="00294DC9"/>
    <w:rsid w:val="00295495"/>
    <w:rsid w:val="002A31DE"/>
    <w:rsid w:val="002A62F7"/>
    <w:rsid w:val="002B2613"/>
    <w:rsid w:val="002C1468"/>
    <w:rsid w:val="002D6D05"/>
    <w:rsid w:val="002F1818"/>
    <w:rsid w:val="002F5109"/>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2919"/>
    <w:rsid w:val="003D66DA"/>
    <w:rsid w:val="003E1310"/>
    <w:rsid w:val="003E2E6A"/>
    <w:rsid w:val="003E6F55"/>
    <w:rsid w:val="00406254"/>
    <w:rsid w:val="00410559"/>
    <w:rsid w:val="0041585D"/>
    <w:rsid w:val="00420B47"/>
    <w:rsid w:val="004223DE"/>
    <w:rsid w:val="00434489"/>
    <w:rsid w:val="00437085"/>
    <w:rsid w:val="00443880"/>
    <w:rsid w:val="004464F4"/>
    <w:rsid w:val="00447329"/>
    <w:rsid w:val="00471401"/>
    <w:rsid w:val="00473F31"/>
    <w:rsid w:val="0048263A"/>
    <w:rsid w:val="004826A2"/>
    <w:rsid w:val="00487E5D"/>
    <w:rsid w:val="004A711F"/>
    <w:rsid w:val="004B199D"/>
    <w:rsid w:val="004B4690"/>
    <w:rsid w:val="004E0A2D"/>
    <w:rsid w:val="004E206B"/>
    <w:rsid w:val="004E3607"/>
    <w:rsid w:val="004E6DF7"/>
    <w:rsid w:val="004F0FBD"/>
    <w:rsid w:val="00505A47"/>
    <w:rsid w:val="00512FDA"/>
    <w:rsid w:val="00520DA0"/>
    <w:rsid w:val="005664BB"/>
    <w:rsid w:val="00566FFA"/>
    <w:rsid w:val="0057481D"/>
    <w:rsid w:val="0058486E"/>
    <w:rsid w:val="00585B33"/>
    <w:rsid w:val="0059014D"/>
    <w:rsid w:val="005A09FD"/>
    <w:rsid w:val="005B0198"/>
    <w:rsid w:val="005B321C"/>
    <w:rsid w:val="005B5C64"/>
    <w:rsid w:val="005C5337"/>
    <w:rsid w:val="005C6BD0"/>
    <w:rsid w:val="005D1C8B"/>
    <w:rsid w:val="005D468D"/>
    <w:rsid w:val="005D5CED"/>
    <w:rsid w:val="005F1A4C"/>
    <w:rsid w:val="00605688"/>
    <w:rsid w:val="006070AF"/>
    <w:rsid w:val="00607E6C"/>
    <w:rsid w:val="006101B1"/>
    <w:rsid w:val="00614E44"/>
    <w:rsid w:val="00620030"/>
    <w:rsid w:val="0062270A"/>
    <w:rsid w:val="00622830"/>
    <w:rsid w:val="00623DA0"/>
    <w:rsid w:val="00630AEF"/>
    <w:rsid w:val="006325F8"/>
    <w:rsid w:val="00633463"/>
    <w:rsid w:val="00634C9A"/>
    <w:rsid w:val="00640417"/>
    <w:rsid w:val="00641F56"/>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516B"/>
    <w:rsid w:val="00746F48"/>
    <w:rsid w:val="0075404D"/>
    <w:rsid w:val="0076182A"/>
    <w:rsid w:val="00762406"/>
    <w:rsid w:val="0076493D"/>
    <w:rsid w:val="00767B7E"/>
    <w:rsid w:val="007770C3"/>
    <w:rsid w:val="00784D24"/>
    <w:rsid w:val="00785FBA"/>
    <w:rsid w:val="00786E4A"/>
    <w:rsid w:val="007875EB"/>
    <w:rsid w:val="0079426B"/>
    <w:rsid w:val="007D1682"/>
    <w:rsid w:val="007D312A"/>
    <w:rsid w:val="007D3F19"/>
    <w:rsid w:val="007E23B0"/>
    <w:rsid w:val="007E23E5"/>
    <w:rsid w:val="007E6A82"/>
    <w:rsid w:val="007F1991"/>
    <w:rsid w:val="007F2C2F"/>
    <w:rsid w:val="007F55FC"/>
    <w:rsid w:val="007F5665"/>
    <w:rsid w:val="007F7385"/>
    <w:rsid w:val="00800112"/>
    <w:rsid w:val="00813348"/>
    <w:rsid w:val="008253BB"/>
    <w:rsid w:val="0083706E"/>
    <w:rsid w:val="008408F6"/>
    <w:rsid w:val="008423A5"/>
    <w:rsid w:val="00850625"/>
    <w:rsid w:val="00853718"/>
    <w:rsid w:val="00855221"/>
    <w:rsid w:val="00860645"/>
    <w:rsid w:val="00871F71"/>
    <w:rsid w:val="00872FD8"/>
    <w:rsid w:val="00875641"/>
    <w:rsid w:val="00885AF4"/>
    <w:rsid w:val="00887F08"/>
    <w:rsid w:val="008914B9"/>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34F0"/>
    <w:rsid w:val="00935C98"/>
    <w:rsid w:val="00946945"/>
    <w:rsid w:val="00951248"/>
    <w:rsid w:val="0095152F"/>
    <w:rsid w:val="009546E4"/>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E50C8"/>
    <w:rsid w:val="009F1185"/>
    <w:rsid w:val="009F18CD"/>
    <w:rsid w:val="009F2A13"/>
    <w:rsid w:val="009F7527"/>
    <w:rsid w:val="00A04EB0"/>
    <w:rsid w:val="00A13CC1"/>
    <w:rsid w:val="00A16847"/>
    <w:rsid w:val="00A237D8"/>
    <w:rsid w:val="00A25C9F"/>
    <w:rsid w:val="00A268C4"/>
    <w:rsid w:val="00A27C77"/>
    <w:rsid w:val="00A307CD"/>
    <w:rsid w:val="00A331C8"/>
    <w:rsid w:val="00A40A00"/>
    <w:rsid w:val="00A4142F"/>
    <w:rsid w:val="00A422EB"/>
    <w:rsid w:val="00A45BB7"/>
    <w:rsid w:val="00A56DF2"/>
    <w:rsid w:val="00A56E6E"/>
    <w:rsid w:val="00A67AB5"/>
    <w:rsid w:val="00A733B2"/>
    <w:rsid w:val="00A741C2"/>
    <w:rsid w:val="00A74A9E"/>
    <w:rsid w:val="00A91760"/>
    <w:rsid w:val="00A93B00"/>
    <w:rsid w:val="00A93C21"/>
    <w:rsid w:val="00AB64C9"/>
    <w:rsid w:val="00AC2E50"/>
    <w:rsid w:val="00AC3C6A"/>
    <w:rsid w:val="00AD5620"/>
    <w:rsid w:val="00AD656B"/>
    <w:rsid w:val="00AD7C1B"/>
    <w:rsid w:val="00AE16BA"/>
    <w:rsid w:val="00AE1EBE"/>
    <w:rsid w:val="00B03C9D"/>
    <w:rsid w:val="00B060AE"/>
    <w:rsid w:val="00B10517"/>
    <w:rsid w:val="00B12E8B"/>
    <w:rsid w:val="00B14E76"/>
    <w:rsid w:val="00B161B8"/>
    <w:rsid w:val="00B2048C"/>
    <w:rsid w:val="00B310B9"/>
    <w:rsid w:val="00B35F3F"/>
    <w:rsid w:val="00B36CBB"/>
    <w:rsid w:val="00B411A6"/>
    <w:rsid w:val="00B425E0"/>
    <w:rsid w:val="00B440AA"/>
    <w:rsid w:val="00B44B70"/>
    <w:rsid w:val="00B53C56"/>
    <w:rsid w:val="00B57DAF"/>
    <w:rsid w:val="00B76F9D"/>
    <w:rsid w:val="00B77EA6"/>
    <w:rsid w:val="00B81598"/>
    <w:rsid w:val="00B841F1"/>
    <w:rsid w:val="00B944D6"/>
    <w:rsid w:val="00BA579E"/>
    <w:rsid w:val="00BB4DF0"/>
    <w:rsid w:val="00BC289F"/>
    <w:rsid w:val="00BC2D50"/>
    <w:rsid w:val="00BC5361"/>
    <w:rsid w:val="00BC5460"/>
    <w:rsid w:val="00BC6B50"/>
    <w:rsid w:val="00BD0E25"/>
    <w:rsid w:val="00BF5BD6"/>
    <w:rsid w:val="00C03E31"/>
    <w:rsid w:val="00C33E72"/>
    <w:rsid w:val="00C354B2"/>
    <w:rsid w:val="00C35554"/>
    <w:rsid w:val="00C42709"/>
    <w:rsid w:val="00C46119"/>
    <w:rsid w:val="00C533CC"/>
    <w:rsid w:val="00C5751C"/>
    <w:rsid w:val="00C61BFC"/>
    <w:rsid w:val="00C62B85"/>
    <w:rsid w:val="00C65438"/>
    <w:rsid w:val="00C860D5"/>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50A1"/>
    <w:rsid w:val="00DA634F"/>
    <w:rsid w:val="00DA65AC"/>
    <w:rsid w:val="00DB1913"/>
    <w:rsid w:val="00DC410D"/>
    <w:rsid w:val="00DC5A81"/>
    <w:rsid w:val="00DC68CA"/>
    <w:rsid w:val="00DC7CBA"/>
    <w:rsid w:val="00DD73B7"/>
    <w:rsid w:val="00DF24DF"/>
    <w:rsid w:val="00DF28BC"/>
    <w:rsid w:val="00DF34B9"/>
    <w:rsid w:val="00E01053"/>
    <w:rsid w:val="00E01B70"/>
    <w:rsid w:val="00E07ACF"/>
    <w:rsid w:val="00E11813"/>
    <w:rsid w:val="00E331A1"/>
    <w:rsid w:val="00E33202"/>
    <w:rsid w:val="00E336A9"/>
    <w:rsid w:val="00E472B1"/>
    <w:rsid w:val="00E50624"/>
    <w:rsid w:val="00E568DF"/>
    <w:rsid w:val="00E64269"/>
    <w:rsid w:val="00E82267"/>
    <w:rsid w:val="00E853CE"/>
    <w:rsid w:val="00E867B6"/>
    <w:rsid w:val="00EA010F"/>
    <w:rsid w:val="00EB0FAE"/>
    <w:rsid w:val="00ED1B63"/>
    <w:rsid w:val="00ED3C1F"/>
    <w:rsid w:val="00ED4085"/>
    <w:rsid w:val="00ED420E"/>
    <w:rsid w:val="00ED6FBE"/>
    <w:rsid w:val="00EE2F57"/>
    <w:rsid w:val="00EF4C34"/>
    <w:rsid w:val="00EF77C6"/>
    <w:rsid w:val="00F03938"/>
    <w:rsid w:val="00F05438"/>
    <w:rsid w:val="00F1361C"/>
    <w:rsid w:val="00F156F0"/>
    <w:rsid w:val="00F160C7"/>
    <w:rsid w:val="00F2408F"/>
    <w:rsid w:val="00F240E9"/>
    <w:rsid w:val="00F36D8F"/>
    <w:rsid w:val="00F417B1"/>
    <w:rsid w:val="00F45853"/>
    <w:rsid w:val="00F5561B"/>
    <w:rsid w:val="00F602DF"/>
    <w:rsid w:val="00F754A1"/>
    <w:rsid w:val="00F81FD9"/>
    <w:rsid w:val="00F841AA"/>
    <w:rsid w:val="00F84A94"/>
    <w:rsid w:val="00F87E96"/>
    <w:rsid w:val="00FA23E8"/>
    <w:rsid w:val="00FA789D"/>
    <w:rsid w:val="00FC7DA4"/>
    <w:rsid w:val="00FD3CC1"/>
    <w:rsid w:val="00FF1E02"/>
    <w:rsid w:val="00FF30B4"/>
    <w:rsid w:val="0147153B"/>
    <w:rsid w:val="015975B8"/>
    <w:rsid w:val="0194674A"/>
    <w:rsid w:val="019F33EB"/>
    <w:rsid w:val="020967F0"/>
    <w:rsid w:val="02FEBE30"/>
    <w:rsid w:val="03031491"/>
    <w:rsid w:val="036F8141"/>
    <w:rsid w:val="04021749"/>
    <w:rsid w:val="054B247E"/>
    <w:rsid w:val="05C14046"/>
    <w:rsid w:val="063F4ED6"/>
    <w:rsid w:val="066E0107"/>
    <w:rsid w:val="06F51A39"/>
    <w:rsid w:val="07155C37"/>
    <w:rsid w:val="077E558A"/>
    <w:rsid w:val="07911761"/>
    <w:rsid w:val="07996F6E"/>
    <w:rsid w:val="07B2792A"/>
    <w:rsid w:val="07C338E5"/>
    <w:rsid w:val="07DFD8BA"/>
    <w:rsid w:val="085E716A"/>
    <w:rsid w:val="09045F63"/>
    <w:rsid w:val="0923288D"/>
    <w:rsid w:val="09887F15"/>
    <w:rsid w:val="0992356F"/>
    <w:rsid w:val="09C86F91"/>
    <w:rsid w:val="0A090D8B"/>
    <w:rsid w:val="0A2032A3"/>
    <w:rsid w:val="0A7D5FCD"/>
    <w:rsid w:val="0A9652E1"/>
    <w:rsid w:val="0AB8710D"/>
    <w:rsid w:val="0B1C3A38"/>
    <w:rsid w:val="0B8D4C06"/>
    <w:rsid w:val="0BAB6B6A"/>
    <w:rsid w:val="0C1464BD"/>
    <w:rsid w:val="0C405504"/>
    <w:rsid w:val="0CAA0BCF"/>
    <w:rsid w:val="0D35B1ED"/>
    <w:rsid w:val="0D605732"/>
    <w:rsid w:val="0D8B6C53"/>
    <w:rsid w:val="0DDE4FD5"/>
    <w:rsid w:val="0E4A4418"/>
    <w:rsid w:val="0E7ED1F5"/>
    <w:rsid w:val="0E96765D"/>
    <w:rsid w:val="0E9D4E90"/>
    <w:rsid w:val="0EBF508F"/>
    <w:rsid w:val="0EC00B7E"/>
    <w:rsid w:val="0F0F11BE"/>
    <w:rsid w:val="0F1F6A0C"/>
    <w:rsid w:val="0F98263C"/>
    <w:rsid w:val="0FE92447"/>
    <w:rsid w:val="101860EC"/>
    <w:rsid w:val="10790FE5"/>
    <w:rsid w:val="10C055FF"/>
    <w:rsid w:val="10DD77C5"/>
    <w:rsid w:val="10EA3C90"/>
    <w:rsid w:val="11665A0D"/>
    <w:rsid w:val="118063A3"/>
    <w:rsid w:val="118107EC"/>
    <w:rsid w:val="11936FD1"/>
    <w:rsid w:val="11D241DB"/>
    <w:rsid w:val="12086AC4"/>
    <w:rsid w:val="12217B86"/>
    <w:rsid w:val="12B92E70"/>
    <w:rsid w:val="12BE3627"/>
    <w:rsid w:val="13934FB1"/>
    <w:rsid w:val="13D50BC4"/>
    <w:rsid w:val="13F5616D"/>
    <w:rsid w:val="14885C9A"/>
    <w:rsid w:val="149A777C"/>
    <w:rsid w:val="154A2F50"/>
    <w:rsid w:val="1577659C"/>
    <w:rsid w:val="15CE592F"/>
    <w:rsid w:val="16BB723D"/>
    <w:rsid w:val="17092996"/>
    <w:rsid w:val="172779EC"/>
    <w:rsid w:val="17E551B2"/>
    <w:rsid w:val="17F9714D"/>
    <w:rsid w:val="1918F934"/>
    <w:rsid w:val="1A46462D"/>
    <w:rsid w:val="1B1F4E7E"/>
    <w:rsid w:val="1B3C158C"/>
    <w:rsid w:val="1B497698"/>
    <w:rsid w:val="1B797C43"/>
    <w:rsid w:val="1BE8440E"/>
    <w:rsid w:val="1C453830"/>
    <w:rsid w:val="1C4921B3"/>
    <w:rsid w:val="1C533032"/>
    <w:rsid w:val="1C9571A6"/>
    <w:rsid w:val="1CB6711D"/>
    <w:rsid w:val="1D155CEE"/>
    <w:rsid w:val="1D9A259A"/>
    <w:rsid w:val="1DFBC4B3"/>
    <w:rsid w:val="1E0B5246"/>
    <w:rsid w:val="1E740ACF"/>
    <w:rsid w:val="1EBC3110"/>
    <w:rsid w:val="1EDF5D2C"/>
    <w:rsid w:val="1F19C781"/>
    <w:rsid w:val="1F33FCE5"/>
    <w:rsid w:val="1F3802BD"/>
    <w:rsid w:val="1F6E61C8"/>
    <w:rsid w:val="1F7F7398"/>
    <w:rsid w:val="1F9C4CF0"/>
    <w:rsid w:val="1FCD4EA9"/>
    <w:rsid w:val="1FD2DB6F"/>
    <w:rsid w:val="1FE12702"/>
    <w:rsid w:val="1FF35744"/>
    <w:rsid w:val="1FF6BC77"/>
    <w:rsid w:val="1FF9236D"/>
    <w:rsid w:val="206C2914"/>
    <w:rsid w:val="21BE0F4D"/>
    <w:rsid w:val="21EF7359"/>
    <w:rsid w:val="22252D7A"/>
    <w:rsid w:val="22421B7E"/>
    <w:rsid w:val="22486A69"/>
    <w:rsid w:val="22CA6694"/>
    <w:rsid w:val="2333840E"/>
    <w:rsid w:val="23860B96"/>
    <w:rsid w:val="23922691"/>
    <w:rsid w:val="239C52BE"/>
    <w:rsid w:val="240371BF"/>
    <w:rsid w:val="24661428"/>
    <w:rsid w:val="24BF30AA"/>
    <w:rsid w:val="24D6035C"/>
    <w:rsid w:val="257C638F"/>
    <w:rsid w:val="25D533FC"/>
    <w:rsid w:val="26467763"/>
    <w:rsid w:val="2657371E"/>
    <w:rsid w:val="27194E78"/>
    <w:rsid w:val="2725381D"/>
    <w:rsid w:val="277919F8"/>
    <w:rsid w:val="27B01338"/>
    <w:rsid w:val="27DA5621"/>
    <w:rsid w:val="280D678A"/>
    <w:rsid w:val="289261CC"/>
    <w:rsid w:val="29995DFC"/>
    <w:rsid w:val="29B175E9"/>
    <w:rsid w:val="29FB2A69"/>
    <w:rsid w:val="29FD04D3"/>
    <w:rsid w:val="2BFF7BC6"/>
    <w:rsid w:val="2C5E2660"/>
    <w:rsid w:val="2C6B1CD2"/>
    <w:rsid w:val="2C8A61B5"/>
    <w:rsid w:val="2CD59C95"/>
    <w:rsid w:val="2D0F6B01"/>
    <w:rsid w:val="2D595FCE"/>
    <w:rsid w:val="2D6D1A79"/>
    <w:rsid w:val="2DF04E50"/>
    <w:rsid w:val="2EFD05E5"/>
    <w:rsid w:val="2F040D46"/>
    <w:rsid w:val="2F3E191F"/>
    <w:rsid w:val="2F462582"/>
    <w:rsid w:val="2F4F95CE"/>
    <w:rsid w:val="2FACAFDD"/>
    <w:rsid w:val="2FAE5751"/>
    <w:rsid w:val="2FB1A395"/>
    <w:rsid w:val="2FCF0B76"/>
    <w:rsid w:val="2FD9A7D8"/>
    <w:rsid w:val="2FF30C0D"/>
    <w:rsid w:val="305029A6"/>
    <w:rsid w:val="30A92DC8"/>
    <w:rsid w:val="30C61BCC"/>
    <w:rsid w:val="30E402A4"/>
    <w:rsid w:val="30EE0F2A"/>
    <w:rsid w:val="310B5831"/>
    <w:rsid w:val="310E0E7D"/>
    <w:rsid w:val="319F7F4E"/>
    <w:rsid w:val="31AF08B2"/>
    <w:rsid w:val="31C61758"/>
    <w:rsid w:val="327B69E7"/>
    <w:rsid w:val="3304709D"/>
    <w:rsid w:val="334E7381"/>
    <w:rsid w:val="33F16F60"/>
    <w:rsid w:val="34A2688C"/>
    <w:rsid w:val="35A83DA5"/>
    <w:rsid w:val="35C91817"/>
    <w:rsid w:val="35F76384"/>
    <w:rsid w:val="361732D1"/>
    <w:rsid w:val="36A04C6E"/>
    <w:rsid w:val="36AA5135"/>
    <w:rsid w:val="36B92FE4"/>
    <w:rsid w:val="36BE0DA7"/>
    <w:rsid w:val="37221AE0"/>
    <w:rsid w:val="37294C63"/>
    <w:rsid w:val="376B6AA6"/>
    <w:rsid w:val="376D39B2"/>
    <w:rsid w:val="37BF2ED1"/>
    <w:rsid w:val="37E16F03"/>
    <w:rsid w:val="37EA43F2"/>
    <w:rsid w:val="37F53A3B"/>
    <w:rsid w:val="37F54B45"/>
    <w:rsid w:val="384358B1"/>
    <w:rsid w:val="385A49D9"/>
    <w:rsid w:val="38A04AB1"/>
    <w:rsid w:val="38D469F0"/>
    <w:rsid w:val="38F78389"/>
    <w:rsid w:val="397BAF1F"/>
    <w:rsid w:val="397D3044"/>
    <w:rsid w:val="39915D7D"/>
    <w:rsid w:val="39E7B272"/>
    <w:rsid w:val="39F7642F"/>
    <w:rsid w:val="39FF7B37"/>
    <w:rsid w:val="3A3F02FA"/>
    <w:rsid w:val="3A4122C4"/>
    <w:rsid w:val="3AB79AF3"/>
    <w:rsid w:val="3AFDCB77"/>
    <w:rsid w:val="3B50714E"/>
    <w:rsid w:val="3B7EF35A"/>
    <w:rsid w:val="3B9FDB6C"/>
    <w:rsid w:val="3BF53366"/>
    <w:rsid w:val="3BF5BC2F"/>
    <w:rsid w:val="3BF7C23A"/>
    <w:rsid w:val="3BFF223E"/>
    <w:rsid w:val="3C634773"/>
    <w:rsid w:val="3C6EC0A1"/>
    <w:rsid w:val="3CDB0824"/>
    <w:rsid w:val="3CE27D8E"/>
    <w:rsid w:val="3CEBA265"/>
    <w:rsid w:val="3D0221DE"/>
    <w:rsid w:val="3D6A7F9F"/>
    <w:rsid w:val="3D7E7F4D"/>
    <w:rsid w:val="3D98207C"/>
    <w:rsid w:val="3D9CF30A"/>
    <w:rsid w:val="3DE23DBE"/>
    <w:rsid w:val="3DFF5A3E"/>
    <w:rsid w:val="3E0E4BB3"/>
    <w:rsid w:val="3E78745D"/>
    <w:rsid w:val="3EEE77E9"/>
    <w:rsid w:val="3EF32C90"/>
    <w:rsid w:val="3F394AF5"/>
    <w:rsid w:val="3F5D7BA0"/>
    <w:rsid w:val="3FBE5714"/>
    <w:rsid w:val="3FDD8615"/>
    <w:rsid w:val="3FDFB2FF"/>
    <w:rsid w:val="3FF4CAE0"/>
    <w:rsid w:val="3FF75FAF"/>
    <w:rsid w:val="3FF7B227"/>
    <w:rsid w:val="40A37834"/>
    <w:rsid w:val="40C559FD"/>
    <w:rsid w:val="4134048C"/>
    <w:rsid w:val="41433ED6"/>
    <w:rsid w:val="414D4656"/>
    <w:rsid w:val="4162324B"/>
    <w:rsid w:val="41E10EBC"/>
    <w:rsid w:val="424B0183"/>
    <w:rsid w:val="42B37AD7"/>
    <w:rsid w:val="42BF022A"/>
    <w:rsid w:val="43F860E9"/>
    <w:rsid w:val="441F3676"/>
    <w:rsid w:val="446B68BB"/>
    <w:rsid w:val="44E268DA"/>
    <w:rsid w:val="45085EB8"/>
    <w:rsid w:val="457F4F6B"/>
    <w:rsid w:val="45CF2E79"/>
    <w:rsid w:val="46A2233C"/>
    <w:rsid w:val="46CD560B"/>
    <w:rsid w:val="46F506BE"/>
    <w:rsid w:val="4737FB58"/>
    <w:rsid w:val="47ECCB02"/>
    <w:rsid w:val="47FA6A3F"/>
    <w:rsid w:val="484E4529"/>
    <w:rsid w:val="48E72752"/>
    <w:rsid w:val="49415E3C"/>
    <w:rsid w:val="494712D5"/>
    <w:rsid w:val="495D254A"/>
    <w:rsid w:val="49D7AE48"/>
    <w:rsid w:val="49E52C6C"/>
    <w:rsid w:val="4A3F6C7E"/>
    <w:rsid w:val="4A627F82"/>
    <w:rsid w:val="4B0E749A"/>
    <w:rsid w:val="4B3C4B0D"/>
    <w:rsid w:val="4B4D6D1A"/>
    <w:rsid w:val="4B4F25DA"/>
    <w:rsid w:val="4BBB4781"/>
    <w:rsid w:val="4BD709A5"/>
    <w:rsid w:val="4BDD9BFF"/>
    <w:rsid w:val="4BE068DB"/>
    <w:rsid w:val="4BEA7E5D"/>
    <w:rsid w:val="4CBB7CB4"/>
    <w:rsid w:val="4D3A1520"/>
    <w:rsid w:val="4D493511"/>
    <w:rsid w:val="4D577224"/>
    <w:rsid w:val="4DBF1CEB"/>
    <w:rsid w:val="4DBF6A6B"/>
    <w:rsid w:val="4DE23C7E"/>
    <w:rsid w:val="4DF6A672"/>
    <w:rsid w:val="4EAB630A"/>
    <w:rsid w:val="4ECE2238"/>
    <w:rsid w:val="4EDD6607"/>
    <w:rsid w:val="4F02266B"/>
    <w:rsid w:val="4F073684"/>
    <w:rsid w:val="4F5368C9"/>
    <w:rsid w:val="4F7EA413"/>
    <w:rsid w:val="4FAB812F"/>
    <w:rsid w:val="4FCE7CFE"/>
    <w:rsid w:val="4FE9BD67"/>
    <w:rsid w:val="4FEE4C07"/>
    <w:rsid w:val="4FFB052F"/>
    <w:rsid w:val="503E4E84"/>
    <w:rsid w:val="505F4DFA"/>
    <w:rsid w:val="508658E3"/>
    <w:rsid w:val="50BB0282"/>
    <w:rsid w:val="51501312"/>
    <w:rsid w:val="517174DB"/>
    <w:rsid w:val="52F537F4"/>
    <w:rsid w:val="537E6D0A"/>
    <w:rsid w:val="538708F0"/>
    <w:rsid w:val="53AB6B88"/>
    <w:rsid w:val="53DA60AF"/>
    <w:rsid w:val="53F74C96"/>
    <w:rsid w:val="545F186C"/>
    <w:rsid w:val="547E7F44"/>
    <w:rsid w:val="556C2493"/>
    <w:rsid w:val="5583522D"/>
    <w:rsid w:val="55D676D4"/>
    <w:rsid w:val="56764301"/>
    <w:rsid w:val="56CB143B"/>
    <w:rsid w:val="56D54068"/>
    <w:rsid w:val="57BD3DD4"/>
    <w:rsid w:val="57F9CD1E"/>
    <w:rsid w:val="58627B7D"/>
    <w:rsid w:val="58726012"/>
    <w:rsid w:val="58FA7DB6"/>
    <w:rsid w:val="59941FB8"/>
    <w:rsid w:val="59B241EC"/>
    <w:rsid w:val="59DE6D79"/>
    <w:rsid w:val="5A2A6479"/>
    <w:rsid w:val="5A647BDD"/>
    <w:rsid w:val="5A7C3659"/>
    <w:rsid w:val="5A843DDB"/>
    <w:rsid w:val="5AC4067B"/>
    <w:rsid w:val="5AD84127"/>
    <w:rsid w:val="5AF355A3"/>
    <w:rsid w:val="5AF92295"/>
    <w:rsid w:val="5AF9D8E9"/>
    <w:rsid w:val="5B307ABF"/>
    <w:rsid w:val="5B3475AF"/>
    <w:rsid w:val="5BDD38BD"/>
    <w:rsid w:val="5BDD79E6"/>
    <w:rsid w:val="5BEFC772"/>
    <w:rsid w:val="5BFD3E45"/>
    <w:rsid w:val="5BFF5DFC"/>
    <w:rsid w:val="5C2E04A2"/>
    <w:rsid w:val="5CBD5382"/>
    <w:rsid w:val="5CD71FC4"/>
    <w:rsid w:val="5D1F11B5"/>
    <w:rsid w:val="5D3647F9"/>
    <w:rsid w:val="5D59154F"/>
    <w:rsid w:val="5D5A7075"/>
    <w:rsid w:val="5D7C523D"/>
    <w:rsid w:val="5DA644D4"/>
    <w:rsid w:val="5DAB5B22"/>
    <w:rsid w:val="5DAE1B18"/>
    <w:rsid w:val="5DC6470A"/>
    <w:rsid w:val="5DE7D9E5"/>
    <w:rsid w:val="5DF00B86"/>
    <w:rsid w:val="5E007C1C"/>
    <w:rsid w:val="5E8720EC"/>
    <w:rsid w:val="5E8E44F8"/>
    <w:rsid w:val="5EC62C14"/>
    <w:rsid w:val="5ECEC941"/>
    <w:rsid w:val="5EFF8FC6"/>
    <w:rsid w:val="5F5BA39A"/>
    <w:rsid w:val="5F7D3B79"/>
    <w:rsid w:val="5F7F4610"/>
    <w:rsid w:val="5FBF9FF3"/>
    <w:rsid w:val="5FCD4E2C"/>
    <w:rsid w:val="5FEF394A"/>
    <w:rsid w:val="5FF67715"/>
    <w:rsid w:val="600F05EB"/>
    <w:rsid w:val="604007A4"/>
    <w:rsid w:val="61026B8C"/>
    <w:rsid w:val="61131A15"/>
    <w:rsid w:val="614B7400"/>
    <w:rsid w:val="618172C6"/>
    <w:rsid w:val="61CA71D5"/>
    <w:rsid w:val="624C6FF2"/>
    <w:rsid w:val="627961EF"/>
    <w:rsid w:val="627EE9EA"/>
    <w:rsid w:val="62B43B05"/>
    <w:rsid w:val="63930651"/>
    <w:rsid w:val="63B23AA5"/>
    <w:rsid w:val="643028DD"/>
    <w:rsid w:val="647F5392"/>
    <w:rsid w:val="64D8544F"/>
    <w:rsid w:val="64E322C4"/>
    <w:rsid w:val="655F791E"/>
    <w:rsid w:val="65631230"/>
    <w:rsid w:val="65FB93B9"/>
    <w:rsid w:val="660C4727"/>
    <w:rsid w:val="66320B60"/>
    <w:rsid w:val="6633C463"/>
    <w:rsid w:val="667C005C"/>
    <w:rsid w:val="66A6332B"/>
    <w:rsid w:val="66BE0674"/>
    <w:rsid w:val="67642FCA"/>
    <w:rsid w:val="677E43BB"/>
    <w:rsid w:val="67851192"/>
    <w:rsid w:val="67D55B77"/>
    <w:rsid w:val="67EE7F84"/>
    <w:rsid w:val="67FB3202"/>
    <w:rsid w:val="68010AE0"/>
    <w:rsid w:val="686F5F53"/>
    <w:rsid w:val="68C77CB4"/>
    <w:rsid w:val="692D388F"/>
    <w:rsid w:val="69635503"/>
    <w:rsid w:val="69F66377"/>
    <w:rsid w:val="6A5F3F1C"/>
    <w:rsid w:val="6AC1067F"/>
    <w:rsid w:val="6ACA2F88"/>
    <w:rsid w:val="6AE23394"/>
    <w:rsid w:val="6AF74155"/>
    <w:rsid w:val="6AFFCEAF"/>
    <w:rsid w:val="6B2F38EF"/>
    <w:rsid w:val="6B96E9E6"/>
    <w:rsid w:val="6BCE57B5"/>
    <w:rsid w:val="6BE7241B"/>
    <w:rsid w:val="6BFEA4DB"/>
    <w:rsid w:val="6BFFB662"/>
    <w:rsid w:val="6C4A05C8"/>
    <w:rsid w:val="6C6010F1"/>
    <w:rsid w:val="6C944351"/>
    <w:rsid w:val="6CFF4FB8"/>
    <w:rsid w:val="6D323B6A"/>
    <w:rsid w:val="6D6BD6E0"/>
    <w:rsid w:val="6D77E73C"/>
    <w:rsid w:val="6DBF5E93"/>
    <w:rsid w:val="6DF826BE"/>
    <w:rsid w:val="6DFF077E"/>
    <w:rsid w:val="6E510020"/>
    <w:rsid w:val="6E7E3605"/>
    <w:rsid w:val="6E7FDCC7"/>
    <w:rsid w:val="6ED6A62E"/>
    <w:rsid w:val="6EE00B15"/>
    <w:rsid w:val="6EE737B2"/>
    <w:rsid w:val="6EEB2329"/>
    <w:rsid w:val="6EECE67A"/>
    <w:rsid w:val="6EFA06B8"/>
    <w:rsid w:val="6F6F90A8"/>
    <w:rsid w:val="6F6FB3EB"/>
    <w:rsid w:val="6F8731EA"/>
    <w:rsid w:val="6FBC2ADD"/>
    <w:rsid w:val="6FD57C00"/>
    <w:rsid w:val="6FEFFFD8"/>
    <w:rsid w:val="6FF5CC65"/>
    <w:rsid w:val="6FFB47EC"/>
    <w:rsid w:val="6FFF034A"/>
    <w:rsid w:val="7040034C"/>
    <w:rsid w:val="704A2F79"/>
    <w:rsid w:val="707324D0"/>
    <w:rsid w:val="712A28F1"/>
    <w:rsid w:val="715C0E4B"/>
    <w:rsid w:val="71C07997"/>
    <w:rsid w:val="71FFD401"/>
    <w:rsid w:val="72233669"/>
    <w:rsid w:val="723B53D9"/>
    <w:rsid w:val="725A4B2E"/>
    <w:rsid w:val="72734D90"/>
    <w:rsid w:val="7332FE48"/>
    <w:rsid w:val="73905147"/>
    <w:rsid w:val="73AD73D5"/>
    <w:rsid w:val="73B6EB34"/>
    <w:rsid w:val="73FA497D"/>
    <w:rsid w:val="744731E5"/>
    <w:rsid w:val="74583EB6"/>
    <w:rsid w:val="747405C4"/>
    <w:rsid w:val="74B86703"/>
    <w:rsid w:val="74BBD01D"/>
    <w:rsid w:val="74ED5379"/>
    <w:rsid w:val="75153B55"/>
    <w:rsid w:val="75357D54"/>
    <w:rsid w:val="754E0E15"/>
    <w:rsid w:val="75DEEEC2"/>
    <w:rsid w:val="760408CA"/>
    <w:rsid w:val="76487F5B"/>
    <w:rsid w:val="766308F1"/>
    <w:rsid w:val="767F479D"/>
    <w:rsid w:val="76A71125"/>
    <w:rsid w:val="76E3355F"/>
    <w:rsid w:val="76F742AF"/>
    <w:rsid w:val="76F7BE7D"/>
    <w:rsid w:val="76FF5125"/>
    <w:rsid w:val="771816DB"/>
    <w:rsid w:val="773570D3"/>
    <w:rsid w:val="77597F31"/>
    <w:rsid w:val="776F6FFA"/>
    <w:rsid w:val="7777A522"/>
    <w:rsid w:val="77858688"/>
    <w:rsid w:val="77860D3A"/>
    <w:rsid w:val="778769C8"/>
    <w:rsid w:val="77C377C1"/>
    <w:rsid w:val="77CB741A"/>
    <w:rsid w:val="77D7BE3A"/>
    <w:rsid w:val="77DC22F5"/>
    <w:rsid w:val="784F737E"/>
    <w:rsid w:val="797E3A6C"/>
    <w:rsid w:val="79B778D1"/>
    <w:rsid w:val="79CE0DCC"/>
    <w:rsid w:val="79CF70E2"/>
    <w:rsid w:val="79D7FD79"/>
    <w:rsid w:val="79E75806"/>
    <w:rsid w:val="79EE0E19"/>
    <w:rsid w:val="79EE5BA4"/>
    <w:rsid w:val="7A5275FA"/>
    <w:rsid w:val="7A641148"/>
    <w:rsid w:val="7A6F8BF5"/>
    <w:rsid w:val="7A74539C"/>
    <w:rsid w:val="7A770E0E"/>
    <w:rsid w:val="7A894339"/>
    <w:rsid w:val="7A9279F6"/>
    <w:rsid w:val="7ACF82B5"/>
    <w:rsid w:val="7AFF28C9"/>
    <w:rsid w:val="7AFF72A0"/>
    <w:rsid w:val="7AFF7572"/>
    <w:rsid w:val="7B256ABC"/>
    <w:rsid w:val="7B424F78"/>
    <w:rsid w:val="7B6C7DFB"/>
    <w:rsid w:val="7B7D76A7"/>
    <w:rsid w:val="7BAE2FE2"/>
    <w:rsid w:val="7BAF6951"/>
    <w:rsid w:val="7BBFBED0"/>
    <w:rsid w:val="7BC3E394"/>
    <w:rsid w:val="7BF3FE4C"/>
    <w:rsid w:val="7BFB5035"/>
    <w:rsid w:val="7BFDE17E"/>
    <w:rsid w:val="7C75137E"/>
    <w:rsid w:val="7CBFC87B"/>
    <w:rsid w:val="7CCD740C"/>
    <w:rsid w:val="7CD4309A"/>
    <w:rsid w:val="7CFE0F48"/>
    <w:rsid w:val="7D165D43"/>
    <w:rsid w:val="7D2232B3"/>
    <w:rsid w:val="7D225061"/>
    <w:rsid w:val="7D2A03BA"/>
    <w:rsid w:val="7D3DE31C"/>
    <w:rsid w:val="7D7EC23E"/>
    <w:rsid w:val="7D7F8A13"/>
    <w:rsid w:val="7D80447E"/>
    <w:rsid w:val="7DBBCB01"/>
    <w:rsid w:val="7DC765D0"/>
    <w:rsid w:val="7DDB0EE0"/>
    <w:rsid w:val="7DFF51D8"/>
    <w:rsid w:val="7E1F77F3"/>
    <w:rsid w:val="7E3E5719"/>
    <w:rsid w:val="7E634199"/>
    <w:rsid w:val="7E8ADEBF"/>
    <w:rsid w:val="7EEF11D3"/>
    <w:rsid w:val="7EF78C20"/>
    <w:rsid w:val="7F3F679B"/>
    <w:rsid w:val="7F4FC4EF"/>
    <w:rsid w:val="7F5E4D54"/>
    <w:rsid w:val="7F6B75FA"/>
    <w:rsid w:val="7F9B734D"/>
    <w:rsid w:val="7F9F518D"/>
    <w:rsid w:val="7FA30C79"/>
    <w:rsid w:val="7FAF8ABF"/>
    <w:rsid w:val="7FB7269E"/>
    <w:rsid w:val="7FBD6753"/>
    <w:rsid w:val="7FBFABB4"/>
    <w:rsid w:val="7FC65084"/>
    <w:rsid w:val="7FC96657"/>
    <w:rsid w:val="7FD72595"/>
    <w:rsid w:val="7FDA9588"/>
    <w:rsid w:val="7FDF220F"/>
    <w:rsid w:val="7FDF4542"/>
    <w:rsid w:val="7FDF5405"/>
    <w:rsid w:val="7FEDC251"/>
    <w:rsid w:val="7FEDC5F7"/>
    <w:rsid w:val="7FEDD9DE"/>
    <w:rsid w:val="7FEFCDB9"/>
    <w:rsid w:val="7FF5890D"/>
    <w:rsid w:val="7FF5EB09"/>
    <w:rsid w:val="7FF89B92"/>
    <w:rsid w:val="7FF8F2E7"/>
    <w:rsid w:val="7FF93490"/>
    <w:rsid w:val="7FFA6237"/>
    <w:rsid w:val="7FFB5275"/>
    <w:rsid w:val="7FFD14DE"/>
    <w:rsid w:val="7FFFF783"/>
    <w:rsid w:val="93F70A9E"/>
    <w:rsid w:val="997D060E"/>
    <w:rsid w:val="99FF2014"/>
    <w:rsid w:val="9E59F895"/>
    <w:rsid w:val="9E7DEDC1"/>
    <w:rsid w:val="9EEF2B0D"/>
    <w:rsid w:val="9FF6F2A6"/>
    <w:rsid w:val="9FFE4AD9"/>
    <w:rsid w:val="9FFF61B9"/>
    <w:rsid w:val="A6DD0D7F"/>
    <w:rsid w:val="A7955197"/>
    <w:rsid w:val="A7FE5E0E"/>
    <w:rsid w:val="ADC6F725"/>
    <w:rsid w:val="AF0FFA84"/>
    <w:rsid w:val="AF9F0A5E"/>
    <w:rsid w:val="AFEF7964"/>
    <w:rsid w:val="B27A6F28"/>
    <w:rsid w:val="B35F0D5A"/>
    <w:rsid w:val="B3F7F693"/>
    <w:rsid w:val="B3FBBB6C"/>
    <w:rsid w:val="B5FFE407"/>
    <w:rsid w:val="B7CF06AB"/>
    <w:rsid w:val="B7CFA926"/>
    <w:rsid w:val="B7F8786B"/>
    <w:rsid w:val="B9EF5647"/>
    <w:rsid w:val="BABB6AA1"/>
    <w:rsid w:val="BAFCD398"/>
    <w:rsid w:val="BAFFDA0F"/>
    <w:rsid w:val="BB2F4199"/>
    <w:rsid w:val="BBFBD24E"/>
    <w:rsid w:val="BD079C78"/>
    <w:rsid w:val="BD2DD278"/>
    <w:rsid w:val="BD733540"/>
    <w:rsid w:val="BDF7970E"/>
    <w:rsid w:val="BDFE68BD"/>
    <w:rsid w:val="BE6FC990"/>
    <w:rsid w:val="BEBE9537"/>
    <w:rsid w:val="BEFF0D62"/>
    <w:rsid w:val="BEFF90EF"/>
    <w:rsid w:val="BF3735D5"/>
    <w:rsid w:val="BF7F09AC"/>
    <w:rsid w:val="BFB3380D"/>
    <w:rsid w:val="BFB7E7A2"/>
    <w:rsid w:val="BFC2F103"/>
    <w:rsid w:val="BFD475C3"/>
    <w:rsid w:val="BFDE5EA6"/>
    <w:rsid w:val="BFEF99E9"/>
    <w:rsid w:val="BFF9E564"/>
    <w:rsid w:val="BFFF3A69"/>
    <w:rsid w:val="C7BFEF9C"/>
    <w:rsid w:val="C8BD8F25"/>
    <w:rsid w:val="C94DA72E"/>
    <w:rsid w:val="CBEEAA00"/>
    <w:rsid w:val="CC7E9ECE"/>
    <w:rsid w:val="CDBFF9FF"/>
    <w:rsid w:val="CDF78664"/>
    <w:rsid w:val="CE3FF57E"/>
    <w:rsid w:val="CF3AB4AC"/>
    <w:rsid w:val="CF6FC6F3"/>
    <w:rsid w:val="CFD3D3D7"/>
    <w:rsid w:val="CFDF1009"/>
    <w:rsid w:val="D6B7E4F6"/>
    <w:rsid w:val="D6CB2739"/>
    <w:rsid w:val="D776A8DB"/>
    <w:rsid w:val="D7B6B268"/>
    <w:rsid w:val="D7D7B16A"/>
    <w:rsid w:val="D7EF2E2A"/>
    <w:rsid w:val="D8D6DB89"/>
    <w:rsid w:val="DB6F4CAB"/>
    <w:rsid w:val="DB777682"/>
    <w:rsid w:val="DBDDA52A"/>
    <w:rsid w:val="DCFFC0D1"/>
    <w:rsid w:val="DD1FB521"/>
    <w:rsid w:val="DDCB2E5E"/>
    <w:rsid w:val="DDFE75CA"/>
    <w:rsid w:val="DEFBBE33"/>
    <w:rsid w:val="DEFBFEAE"/>
    <w:rsid w:val="DF1F3B80"/>
    <w:rsid w:val="DF6F9789"/>
    <w:rsid w:val="DF9B8D55"/>
    <w:rsid w:val="DF9D198A"/>
    <w:rsid w:val="DFDF1D8E"/>
    <w:rsid w:val="DFEFC58B"/>
    <w:rsid w:val="DFF5F241"/>
    <w:rsid w:val="DFFFA9E8"/>
    <w:rsid w:val="E37D5D3F"/>
    <w:rsid w:val="E3FFE98D"/>
    <w:rsid w:val="E5F4E9DC"/>
    <w:rsid w:val="E67FF583"/>
    <w:rsid w:val="E70FE695"/>
    <w:rsid w:val="E7676621"/>
    <w:rsid w:val="E76B2B9A"/>
    <w:rsid w:val="E7AB7A34"/>
    <w:rsid w:val="E7DF1E20"/>
    <w:rsid w:val="E7FF6381"/>
    <w:rsid w:val="E9A30291"/>
    <w:rsid w:val="EBBF924C"/>
    <w:rsid w:val="ECFED1BC"/>
    <w:rsid w:val="ED1D69BB"/>
    <w:rsid w:val="ED2C2584"/>
    <w:rsid w:val="ED7FD312"/>
    <w:rsid w:val="EDBE03E0"/>
    <w:rsid w:val="EDD1A84A"/>
    <w:rsid w:val="EDFF8263"/>
    <w:rsid w:val="EE1FA0C7"/>
    <w:rsid w:val="EF53993F"/>
    <w:rsid w:val="EF7B8152"/>
    <w:rsid w:val="EF8E27E2"/>
    <w:rsid w:val="EFBFB2F4"/>
    <w:rsid w:val="EFBFFA21"/>
    <w:rsid w:val="EFDF4337"/>
    <w:rsid w:val="EFF7097E"/>
    <w:rsid w:val="F2BEBCB8"/>
    <w:rsid w:val="F36FB518"/>
    <w:rsid w:val="F3DE1A04"/>
    <w:rsid w:val="F3E244FA"/>
    <w:rsid w:val="F3EFB7CA"/>
    <w:rsid w:val="F3F722E5"/>
    <w:rsid w:val="F699BB1A"/>
    <w:rsid w:val="F6DEABFE"/>
    <w:rsid w:val="F7B650C7"/>
    <w:rsid w:val="F7EF9033"/>
    <w:rsid w:val="F7FDC2B1"/>
    <w:rsid w:val="F8DDDAC6"/>
    <w:rsid w:val="F96B55C8"/>
    <w:rsid w:val="FA2F5BEB"/>
    <w:rsid w:val="FA5F1E70"/>
    <w:rsid w:val="FA5FDB97"/>
    <w:rsid w:val="FB1BB959"/>
    <w:rsid w:val="FB75E3C8"/>
    <w:rsid w:val="FB7F461B"/>
    <w:rsid w:val="FB7F486A"/>
    <w:rsid w:val="FB7F6E28"/>
    <w:rsid w:val="FB8778F4"/>
    <w:rsid w:val="FBB61866"/>
    <w:rsid w:val="FBEE055A"/>
    <w:rsid w:val="FBF91527"/>
    <w:rsid w:val="FBFD1260"/>
    <w:rsid w:val="FBFF5B2E"/>
    <w:rsid w:val="FC833EBB"/>
    <w:rsid w:val="FCFE0B49"/>
    <w:rsid w:val="FD4B388D"/>
    <w:rsid w:val="FD77A83C"/>
    <w:rsid w:val="FD7FFE2B"/>
    <w:rsid w:val="FDADA43D"/>
    <w:rsid w:val="FDBDC432"/>
    <w:rsid w:val="FDEB412A"/>
    <w:rsid w:val="FDEE196B"/>
    <w:rsid w:val="FDEF50BC"/>
    <w:rsid w:val="FDFD5EC3"/>
    <w:rsid w:val="FDFE6575"/>
    <w:rsid w:val="FE9E11AB"/>
    <w:rsid w:val="FEBF38CD"/>
    <w:rsid w:val="FEDFDDC2"/>
    <w:rsid w:val="FEEB4E4D"/>
    <w:rsid w:val="FEED32F6"/>
    <w:rsid w:val="FEF781DD"/>
    <w:rsid w:val="FEF9D8C4"/>
    <w:rsid w:val="FF3F7E3F"/>
    <w:rsid w:val="FF3FF759"/>
    <w:rsid w:val="FF4749A3"/>
    <w:rsid w:val="FF4D3A28"/>
    <w:rsid w:val="FF5913BC"/>
    <w:rsid w:val="FF7F1E7E"/>
    <w:rsid w:val="FF9BAA5C"/>
    <w:rsid w:val="FFA57884"/>
    <w:rsid w:val="FFB513DD"/>
    <w:rsid w:val="FFBA12D7"/>
    <w:rsid w:val="FFBFE8C6"/>
    <w:rsid w:val="FFCF2925"/>
    <w:rsid w:val="FFD33B6C"/>
    <w:rsid w:val="FFDAD824"/>
    <w:rsid w:val="FFDE4064"/>
    <w:rsid w:val="FFDEA9D8"/>
    <w:rsid w:val="FFDF2DEC"/>
    <w:rsid w:val="FFDF624E"/>
    <w:rsid w:val="FFDF6BC0"/>
    <w:rsid w:val="FFDFFAEE"/>
    <w:rsid w:val="FFE3BA41"/>
    <w:rsid w:val="FFE3BED4"/>
    <w:rsid w:val="FFF316C1"/>
    <w:rsid w:val="FFF63ECC"/>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styleId="6">
    <w:name w:val="Body Text"/>
    <w:basedOn w:val="1"/>
    <w:link w:val="27"/>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4"/>
    <w:semiHidden/>
    <w:unhideWhenUsed/>
    <w:qFormat/>
    <w:uiPriority w:val="99"/>
    <w:rPr>
      <w:sz w:val="18"/>
      <w:szCs w:val="18"/>
    </w:rPr>
  </w:style>
  <w:style w:type="paragraph" w:styleId="10">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able of figures"/>
    <w:basedOn w:val="1"/>
    <w:next w:val="1"/>
    <w:qFormat/>
    <w:uiPriority w:val="0"/>
    <w:pPr>
      <w:ind w:left="400" w:leftChars="200" w:hanging="200" w:hangingChars="200"/>
    </w:pPr>
  </w:style>
  <w:style w:type="paragraph" w:styleId="14">
    <w:name w:val="toc 2"/>
    <w:basedOn w:val="1"/>
    <w:next w:val="1"/>
    <w:unhideWhenUsed/>
    <w:qFormat/>
    <w:uiPriority w:val="39"/>
    <w:pPr>
      <w:tabs>
        <w:tab w:val="right" w:leader="dot" w:pos="8296"/>
      </w:tabs>
      <w:ind w:left="420" w:leftChars="200"/>
    </w:p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6">
    <w:name w:val="Body Text First Indent 2"/>
    <w:basedOn w:val="7"/>
    <w:unhideWhenUsed/>
    <w:qFormat/>
    <w:uiPriority w:val="99"/>
    <w:pPr>
      <w:ind w:firstLine="420" w:firstLineChars="200"/>
    </w:pPr>
  </w:style>
  <w:style w:type="table" w:styleId="18">
    <w:name w:val="Table Grid"/>
    <w:basedOn w:val="17"/>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20">
    <w:name w:val="Strong"/>
    <w:basedOn w:val="19"/>
    <w:qFormat/>
    <w:uiPriority w:val="99"/>
    <w:rPr>
      <w:b/>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customStyle="1" w:styleId="22">
    <w:name w:val="Header Char"/>
    <w:basedOn w:val="19"/>
    <w:semiHidden/>
    <w:qFormat/>
    <w:uiPriority w:val="99"/>
    <w:rPr>
      <w:rFonts w:ascii="Times New Roman" w:hAnsi="Times New Roman"/>
      <w:sz w:val="18"/>
      <w:szCs w:val="18"/>
    </w:rPr>
  </w:style>
  <w:style w:type="character" w:customStyle="1" w:styleId="23">
    <w:name w:val="页眉 字符"/>
    <w:link w:val="11"/>
    <w:semiHidden/>
    <w:qFormat/>
    <w:locked/>
    <w:uiPriority w:val="99"/>
    <w:rPr>
      <w:sz w:val="18"/>
    </w:rPr>
  </w:style>
  <w:style w:type="character" w:customStyle="1" w:styleId="24">
    <w:name w:val="Footer Char"/>
    <w:basedOn w:val="19"/>
    <w:semiHidden/>
    <w:qFormat/>
    <w:uiPriority w:val="99"/>
    <w:rPr>
      <w:rFonts w:ascii="Times New Roman" w:hAnsi="Times New Roman"/>
      <w:sz w:val="18"/>
      <w:szCs w:val="18"/>
    </w:rPr>
  </w:style>
  <w:style w:type="character" w:customStyle="1" w:styleId="25">
    <w:name w:val="页脚 字符"/>
    <w:link w:val="10"/>
    <w:qFormat/>
    <w:locked/>
    <w:uiPriority w:val="99"/>
    <w:rPr>
      <w:sz w:val="18"/>
    </w:rPr>
  </w:style>
  <w:style w:type="character" w:customStyle="1" w:styleId="26">
    <w:name w:val="Body Text Char"/>
    <w:basedOn w:val="19"/>
    <w:semiHidden/>
    <w:qFormat/>
    <w:uiPriority w:val="99"/>
    <w:rPr>
      <w:rFonts w:ascii="Times New Roman" w:hAnsi="Times New Roman"/>
      <w:szCs w:val="24"/>
    </w:rPr>
  </w:style>
  <w:style w:type="character" w:customStyle="1" w:styleId="27">
    <w:name w:val="正文文本 字符"/>
    <w:link w:val="6"/>
    <w:qFormat/>
    <w:locked/>
    <w:uiPriority w:val="99"/>
    <w:rPr>
      <w:rFonts w:ascii="仿宋_GB2312" w:hAnsi="Times New Roman" w:eastAsia="仿宋_GB2312"/>
      <w:sz w:val="24"/>
    </w:rPr>
  </w:style>
  <w:style w:type="paragraph" w:customStyle="1" w:styleId="28">
    <w:name w:val="Default"/>
    <w:next w:val="29"/>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9">
    <w:name w:val="toc 21"/>
    <w:next w:val="1"/>
    <w:qFormat/>
    <w:uiPriority w:val="0"/>
    <w:pPr>
      <w:wordWrap w:val="0"/>
      <w:ind w:left="425"/>
      <w:jc w:val="both"/>
    </w:pPr>
    <w:rPr>
      <w:rFonts w:ascii="Times New Roman" w:hAnsi="Times New Roman" w:eastAsia="宋体" w:cs="Times New Roman"/>
      <w:sz w:val="21"/>
      <w:lang w:val="en-US" w:eastAsia="zh-CN" w:bidi="ar-SA"/>
    </w:rPr>
  </w:style>
  <w:style w:type="paragraph" w:styleId="30">
    <w:name w:val="List Paragraph"/>
    <w:basedOn w:val="1"/>
    <w:qFormat/>
    <w:uiPriority w:val="34"/>
    <w:pPr>
      <w:ind w:firstLine="420" w:firstLineChars="200"/>
    </w:pPr>
  </w:style>
  <w:style w:type="character" w:customStyle="1" w:styleId="31">
    <w:name w:val="标题 1 字符"/>
    <w:basedOn w:val="19"/>
    <w:link w:val="3"/>
    <w:qFormat/>
    <w:uiPriority w:val="9"/>
    <w:rPr>
      <w:rFonts w:ascii="Times New Roman" w:hAnsi="Times New Roman"/>
      <w:b/>
      <w:bCs/>
      <w:kern w:val="44"/>
      <w:sz w:val="44"/>
      <w:szCs w:val="44"/>
    </w:rPr>
  </w:style>
  <w:style w:type="character" w:customStyle="1" w:styleId="32">
    <w:name w:val="标题 2 字符"/>
    <w:basedOn w:val="19"/>
    <w:link w:val="4"/>
    <w:qFormat/>
    <w:uiPriority w:val="9"/>
    <w:rPr>
      <w:rFonts w:asciiTheme="majorHAnsi" w:hAnsiTheme="majorHAnsi" w:eastAsiaTheme="majorEastAsia" w:cstheme="majorBidi"/>
      <w:b/>
      <w:bCs/>
      <w:kern w:val="2"/>
      <w:sz w:val="32"/>
      <w:szCs w:val="32"/>
    </w:rPr>
  </w:style>
  <w:style w:type="paragraph" w:customStyle="1" w:styleId="33">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字符"/>
    <w:basedOn w:val="19"/>
    <w:link w:val="9"/>
    <w:semiHidden/>
    <w:qFormat/>
    <w:uiPriority w:val="99"/>
    <w:rPr>
      <w:rFonts w:ascii="Times New Roman" w:hAnsi="Times New Roman"/>
      <w:kern w:val="2"/>
      <w:sz w:val="18"/>
      <w:szCs w:val="18"/>
    </w:rPr>
  </w:style>
  <w:style w:type="character" w:customStyle="1" w:styleId="35">
    <w:name w:val="标题 3 字符"/>
    <w:basedOn w:val="19"/>
    <w:link w:val="5"/>
    <w:qFormat/>
    <w:uiPriority w:val="9"/>
    <w:rPr>
      <w:rFonts w:ascii="Times New Roman" w:hAnsi="Times New Roman"/>
      <w:b/>
      <w:bCs/>
      <w:kern w:val="2"/>
      <w:sz w:val="32"/>
      <w:szCs w:val="32"/>
    </w:rPr>
  </w:style>
  <w:style w:type="paragraph" w:customStyle="1" w:styleId="36">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qFormat/>
    <w:uiPriority w:val="0"/>
    <w:pPr>
      <w:spacing w:line="360" w:lineRule="auto"/>
    </w:pPr>
    <w:rPr>
      <w:rFonts w:ascii="??" w:hAnsi="??"/>
      <w:color w:val="000000"/>
      <w:kern w:val="0"/>
      <w:sz w:val="28"/>
      <w:szCs w:val="21"/>
      <w:lang w:val="zh-CN"/>
    </w:rPr>
  </w:style>
  <w:style w:type="paragraph" w:customStyle="1" w:styleId="38">
    <w:name w:val="Table Text"/>
    <w:basedOn w:val="1"/>
    <w:semiHidden/>
    <w:qFormat/>
    <w:uiPriority w:val="0"/>
    <w:rPr>
      <w:rFonts w:ascii="宋体" w:hAnsi="宋体" w:eastAsia="宋体" w:cs="宋体"/>
      <w:sz w:val="25"/>
      <w:szCs w:val="25"/>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7" Type="http://schemas.openxmlformats.org/officeDocument/2006/relationships/fontTable" Target="fontTable.xml"/><Relationship Id="rId86" Type="http://schemas.openxmlformats.org/officeDocument/2006/relationships/numbering" Target="numbering.xml"/><Relationship Id="rId85" Type="http://schemas.openxmlformats.org/officeDocument/2006/relationships/customXml" Target="../customXml/item1.xml"/><Relationship Id="rId84" Type="http://schemas.openxmlformats.org/officeDocument/2006/relationships/image" Target="media/image33.emf"/><Relationship Id="rId83" Type="http://schemas.openxmlformats.org/officeDocument/2006/relationships/oleObject" Target="embeddings/oleObject32.bin"/><Relationship Id="rId82" Type="http://schemas.openxmlformats.org/officeDocument/2006/relationships/image" Target="media/image32.emf"/><Relationship Id="rId81" Type="http://schemas.openxmlformats.org/officeDocument/2006/relationships/oleObject" Target="embeddings/oleObject31.bin"/><Relationship Id="rId80" Type="http://schemas.openxmlformats.org/officeDocument/2006/relationships/image" Target="media/image31.emf"/><Relationship Id="rId8" Type="http://schemas.openxmlformats.org/officeDocument/2006/relationships/footer" Target="footer3.xml"/><Relationship Id="rId79" Type="http://schemas.openxmlformats.org/officeDocument/2006/relationships/oleObject" Target="embeddings/oleObject30.bin"/><Relationship Id="rId78" Type="http://schemas.openxmlformats.org/officeDocument/2006/relationships/image" Target="media/image30.emf"/><Relationship Id="rId77" Type="http://schemas.openxmlformats.org/officeDocument/2006/relationships/oleObject" Target="embeddings/oleObject29.bin"/><Relationship Id="rId76" Type="http://schemas.openxmlformats.org/officeDocument/2006/relationships/image" Target="media/image29.emf"/><Relationship Id="rId75" Type="http://schemas.openxmlformats.org/officeDocument/2006/relationships/oleObject" Target="embeddings/oleObject28.bin"/><Relationship Id="rId74" Type="http://schemas.openxmlformats.org/officeDocument/2006/relationships/image" Target="media/image28.emf"/><Relationship Id="rId73" Type="http://schemas.openxmlformats.org/officeDocument/2006/relationships/oleObject" Target="embeddings/oleObject27.bin"/><Relationship Id="rId72" Type="http://schemas.openxmlformats.org/officeDocument/2006/relationships/image" Target="media/image27.emf"/><Relationship Id="rId71" Type="http://schemas.openxmlformats.org/officeDocument/2006/relationships/oleObject" Target="embeddings/oleObject26.bin"/><Relationship Id="rId70" Type="http://schemas.openxmlformats.org/officeDocument/2006/relationships/oleObject" Target="file:///H:\&#32489;&#25928;&#35780;&#20215;\2023&#24180;&#37096;&#38376;&#25972;&#20307;&#25903;&#20986;&#32489;&#25928;&#35780;&#20215;\&#31995;&#32479;&#19978;&#25253;-&#23450;\27.&#26223;&#21306;&#32511;&#21270;&#39033;&#30446;&#25903;&#20986;&#32489;&#25928;&#33258;&#35780;&#34920;.xls" TargetMode="External"/><Relationship Id="rId7" Type="http://schemas.openxmlformats.org/officeDocument/2006/relationships/footer" Target="footer2.xml"/><Relationship Id="rId69" Type="http://schemas.openxmlformats.org/officeDocument/2006/relationships/image" Target="media/image26.emf"/><Relationship Id="rId68" Type="http://schemas.openxmlformats.org/officeDocument/2006/relationships/image" Target="media/image25.emf"/><Relationship Id="rId67" Type="http://schemas.openxmlformats.org/officeDocument/2006/relationships/oleObject" Target="embeddings/oleObject25.bin"/><Relationship Id="rId66" Type="http://schemas.openxmlformats.org/officeDocument/2006/relationships/image" Target="media/image24.emf"/><Relationship Id="rId65" Type="http://schemas.openxmlformats.org/officeDocument/2006/relationships/oleObject" Target="embeddings/oleObject24.bin"/><Relationship Id="rId64" Type="http://schemas.openxmlformats.org/officeDocument/2006/relationships/image" Target="media/image23.emf"/><Relationship Id="rId63" Type="http://schemas.openxmlformats.org/officeDocument/2006/relationships/oleObject" Target="embeddings/oleObject23.bin"/><Relationship Id="rId62" Type="http://schemas.openxmlformats.org/officeDocument/2006/relationships/image" Target="media/image22.emf"/><Relationship Id="rId61" Type="http://schemas.openxmlformats.org/officeDocument/2006/relationships/oleObject" Target="embeddings/oleObject22.bin"/><Relationship Id="rId60" Type="http://schemas.openxmlformats.org/officeDocument/2006/relationships/image" Target="media/image21.emf"/><Relationship Id="rId6" Type="http://schemas.openxmlformats.org/officeDocument/2006/relationships/header" Target="header3.xml"/><Relationship Id="rId59" Type="http://schemas.openxmlformats.org/officeDocument/2006/relationships/oleObject" Target="embeddings/oleObject21.bin"/><Relationship Id="rId58" Type="http://schemas.openxmlformats.org/officeDocument/2006/relationships/image" Target="media/image20.emf"/><Relationship Id="rId57" Type="http://schemas.openxmlformats.org/officeDocument/2006/relationships/oleObject" Target="embeddings/oleObject20.bin"/><Relationship Id="rId56" Type="http://schemas.openxmlformats.org/officeDocument/2006/relationships/image" Target="media/image19.emf"/><Relationship Id="rId55" Type="http://schemas.openxmlformats.org/officeDocument/2006/relationships/oleObject" Target="embeddings/oleObject19.bin"/><Relationship Id="rId54" Type="http://schemas.openxmlformats.org/officeDocument/2006/relationships/image" Target="media/image18.emf"/><Relationship Id="rId53" Type="http://schemas.openxmlformats.org/officeDocument/2006/relationships/oleObject" Target="embeddings/oleObject18.bin"/><Relationship Id="rId52" Type="http://schemas.openxmlformats.org/officeDocument/2006/relationships/image" Target="media/image17.emf"/><Relationship Id="rId51" Type="http://schemas.openxmlformats.org/officeDocument/2006/relationships/oleObject" Target="embeddings/oleObject17.bin"/><Relationship Id="rId50" Type="http://schemas.openxmlformats.org/officeDocument/2006/relationships/image" Target="media/image16.emf"/><Relationship Id="rId5" Type="http://schemas.openxmlformats.org/officeDocument/2006/relationships/footer" Target="footer1.xml"/><Relationship Id="rId49" Type="http://schemas.openxmlformats.org/officeDocument/2006/relationships/oleObject" Target="embeddings/oleObject16.bin"/><Relationship Id="rId48" Type="http://schemas.openxmlformats.org/officeDocument/2006/relationships/image" Target="media/image15.emf"/><Relationship Id="rId47" Type="http://schemas.openxmlformats.org/officeDocument/2006/relationships/oleObject" Target="embeddings/oleObject15.bin"/><Relationship Id="rId46" Type="http://schemas.openxmlformats.org/officeDocument/2006/relationships/image" Target="media/image14.emf"/><Relationship Id="rId45" Type="http://schemas.openxmlformats.org/officeDocument/2006/relationships/oleObject" Target="embeddings/oleObject14.bin"/><Relationship Id="rId44" Type="http://schemas.openxmlformats.org/officeDocument/2006/relationships/image" Target="media/image13.emf"/><Relationship Id="rId43" Type="http://schemas.openxmlformats.org/officeDocument/2006/relationships/oleObject" Target="embeddings/oleObject13.bin"/><Relationship Id="rId42" Type="http://schemas.openxmlformats.org/officeDocument/2006/relationships/image" Target="media/image12.emf"/><Relationship Id="rId41" Type="http://schemas.openxmlformats.org/officeDocument/2006/relationships/oleObject" Target="embeddings/oleObject12.bin"/><Relationship Id="rId40" Type="http://schemas.openxmlformats.org/officeDocument/2006/relationships/image" Target="media/image11.emf"/><Relationship Id="rId4" Type="http://schemas.openxmlformats.org/officeDocument/2006/relationships/header" Target="header2.xml"/><Relationship Id="rId39" Type="http://schemas.openxmlformats.org/officeDocument/2006/relationships/oleObject" Target="embeddings/oleObject11.bin"/><Relationship Id="rId38" Type="http://schemas.openxmlformats.org/officeDocument/2006/relationships/image" Target="media/image10.emf"/><Relationship Id="rId37" Type="http://schemas.openxmlformats.org/officeDocument/2006/relationships/oleObject" Target="embeddings/oleObject10.bin"/><Relationship Id="rId36" Type="http://schemas.openxmlformats.org/officeDocument/2006/relationships/image" Target="media/image9.emf"/><Relationship Id="rId35" Type="http://schemas.openxmlformats.org/officeDocument/2006/relationships/oleObject" Target="embeddings/oleObject9.bin"/><Relationship Id="rId34" Type="http://schemas.openxmlformats.org/officeDocument/2006/relationships/image" Target="media/image8.emf"/><Relationship Id="rId33" Type="http://schemas.openxmlformats.org/officeDocument/2006/relationships/oleObject" Target="embeddings/oleObject8.bin"/><Relationship Id="rId32" Type="http://schemas.openxmlformats.org/officeDocument/2006/relationships/image" Target="media/image7.emf"/><Relationship Id="rId31" Type="http://schemas.openxmlformats.org/officeDocument/2006/relationships/oleObject" Target="embeddings/oleObject7.bin"/><Relationship Id="rId30" Type="http://schemas.openxmlformats.org/officeDocument/2006/relationships/image" Target="media/image6.emf"/><Relationship Id="rId3" Type="http://schemas.openxmlformats.org/officeDocument/2006/relationships/header" Target="header1.xml"/><Relationship Id="rId29" Type="http://schemas.openxmlformats.org/officeDocument/2006/relationships/oleObject" Target="embeddings/oleObject6.bin"/><Relationship Id="rId28" Type="http://schemas.openxmlformats.org/officeDocument/2006/relationships/image" Target="media/image5.emf"/><Relationship Id="rId27" Type="http://schemas.openxmlformats.org/officeDocument/2006/relationships/oleObject" Target="embeddings/oleObject5.bin"/><Relationship Id="rId26" Type="http://schemas.openxmlformats.org/officeDocument/2006/relationships/image" Target="media/image4.emf"/><Relationship Id="rId25" Type="http://schemas.openxmlformats.org/officeDocument/2006/relationships/oleObject" Target="embeddings/oleObject4.bin"/><Relationship Id="rId24" Type="http://schemas.openxmlformats.org/officeDocument/2006/relationships/image" Target="media/image3.emf"/><Relationship Id="rId23" Type="http://schemas.openxmlformats.org/officeDocument/2006/relationships/oleObject" Target="embeddings/oleObject3.bin"/><Relationship Id="rId22" Type="http://schemas.openxmlformats.org/officeDocument/2006/relationships/image" Target="media/image2.emf"/><Relationship Id="rId21" Type="http://schemas.openxmlformats.org/officeDocument/2006/relationships/oleObject" Target="embeddings/oleObject2.bin"/><Relationship Id="rId20" Type="http://schemas.openxmlformats.org/officeDocument/2006/relationships/image" Target="media/image1.emf"/><Relationship Id="rId2" Type="http://schemas.openxmlformats.org/officeDocument/2006/relationships/settings" Target="settings.xml"/><Relationship Id="rId19" Type="http://schemas.openxmlformats.org/officeDocument/2006/relationships/oleObject" Target="embeddings/oleObject1.bin"/><Relationship Id="rId18" Type="http://schemas.openxmlformats.org/officeDocument/2006/relationships/chart" Target="charts/chart7.xml"/><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33"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33"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33"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33"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33"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33"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38"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图1：收、支决算总计变动情况图（万元）</a:t>
            </a:r>
          </a:p>
        </c:rich>
      </c:tx>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[工作簿33]Sheet1!$B$7:$C$7</c:f>
              <c:strCache>
                <c:ptCount val="2"/>
                <c:pt idx="0">
                  <c:v>2022年</c:v>
                </c:pt>
                <c:pt idx="1">
                  <c:v>2023年</c:v>
                </c:pt>
              </c:strCache>
            </c:strRef>
          </c:cat>
          <c:val>
            <c:numRef>
              <c:f>[工作簿33]Sheet1!$B$8:$C$8</c:f>
              <c:numCache>
                <c:formatCode>General</c:formatCode>
                <c:ptCount val="2"/>
                <c:pt idx="0">
                  <c:v>4142.85</c:v>
                </c:pt>
                <c:pt idx="1">
                  <c:v>3735.21</c:v>
                </c:pt>
              </c:numCache>
            </c:numRef>
          </c:val>
        </c:ser>
        <c:dLbls>
          <c:showLegendKey val="0"/>
          <c:showVal val="1"/>
          <c:showCatName val="0"/>
          <c:showSerName val="0"/>
          <c:showPercent val="0"/>
          <c:showBubbleSize val="0"/>
        </c:dLbls>
        <c:gapWidth val="246"/>
        <c:overlap val="-28"/>
        <c:axId val="151418020"/>
        <c:axId val="371732494"/>
      </c:barChart>
      <c:catAx>
        <c:axId val="1514180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1732494"/>
        <c:crosses val="autoZero"/>
        <c:auto val="1"/>
        <c:lblAlgn val="ctr"/>
        <c:lblOffset val="100"/>
        <c:noMultiLvlLbl val="0"/>
      </c:catAx>
      <c:valAx>
        <c:axId val="37173249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14180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图2：收入决算结构图（万元）</a:t>
            </a:r>
          </a:p>
        </c:rich>
      </c:tx>
      <c:layout/>
      <c:overlay val="0"/>
      <c:spPr>
        <a:noFill/>
        <a:ln>
          <a:noFill/>
        </a:ln>
        <a:effectLst/>
      </c:spPr>
    </c:title>
    <c:autoTitleDeleted val="0"/>
    <c:plotArea>
      <c:layout/>
      <c:pieChart>
        <c:varyColors val="1"/>
        <c:ser>
          <c:idx val="0"/>
          <c:order val="0"/>
          <c:tx>
            <c:strRef>
              <c:f>[工作簿33]Sheet1!$D$13</c:f>
              <c:strCache>
                <c:ptCount val="1"/>
                <c:pt idx="0">
                  <c:v>一般公共预算财政拨款收入</c:v>
                </c:pt>
              </c:strCache>
            </c:strRef>
          </c:tx>
          <c:spPr/>
          <c:explosion val="0"/>
          <c:dPt>
            <c:idx val="0"/>
            <c:bubble3D val="0"/>
            <c:spPr>
              <a:solidFill>
                <a:schemeClr val="accent1"/>
              </a:solidFill>
              <a:ln>
                <a:solidFill>
                  <a:schemeClr val="bg1"/>
                </a:solidFill>
              </a:ln>
              <a:effectLst/>
            </c:spPr>
          </c:dPt>
          <c:dLbls>
            <c:dLbl>
              <c:idx val="0"/>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t>一般公共预算财政拨款收入100%</a:t>
                    </a:r>
                  </a:p>
                </c:rich>
              </c:tx>
              <c:dLblPos val="ctr"/>
              <c:showLegendKey val="0"/>
              <c:showVal val="0"/>
              <c:showCatName val="1"/>
              <c:showSerName val="0"/>
              <c:showPercent val="1"/>
              <c:showBubbleSize val="0"/>
              <c:separator>
</c:separator>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val>
            <c:numRef>
              <c:f>[工作簿33]Sheet1!$D$14</c:f>
              <c:numCache>
                <c:formatCode>General</c:formatCode>
                <c:ptCount val="1"/>
                <c:pt idx="0">
                  <c:v>3735.21</c:v>
                </c:pt>
              </c:numCache>
            </c:numRef>
          </c:val>
        </c:ser>
        <c:dLbls>
          <c:showLegendKey val="0"/>
          <c:showVal val="1"/>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图3：支出决算结构图（万元）</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[工作簿33]Sheet1!$E$18:$F$18</c:f>
              <c:strCache>
                <c:ptCount val="2"/>
                <c:pt idx="0">
                  <c:v>基本支出</c:v>
                </c:pt>
                <c:pt idx="1">
                  <c:v>项目支出</c:v>
                </c:pt>
              </c:strCache>
            </c:strRef>
          </c:cat>
          <c:val>
            <c:numRef>
              <c:f>[工作簿33]Sheet1!$E$19:$F$19</c:f>
              <c:numCache>
                <c:formatCode>General</c:formatCode>
                <c:ptCount val="2"/>
                <c:pt idx="0">
                  <c:v>2788.53</c:v>
                </c:pt>
                <c:pt idx="1">
                  <c:v>946.68</c:v>
                </c:pt>
              </c:numCache>
            </c:numRef>
          </c:val>
        </c:ser>
        <c:ser>
          <c:idx val="1"/>
          <c:order val="1"/>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[工作簿33]Sheet1!$E$18:$F$18</c:f>
              <c:strCache>
                <c:ptCount val="2"/>
                <c:pt idx="0">
                  <c:v>基本支出</c:v>
                </c:pt>
                <c:pt idx="1">
                  <c:v>项目支出</c:v>
                </c:pt>
              </c:strCache>
            </c:strRef>
          </c:cat>
          <c:val>
            <c:numRef>
              <c:f>[工作簿33]Sheet1!$E$20:$F$20</c:f>
              <c:numCache>
                <c:formatCode>0.00%</c:formatCode>
                <c:ptCount val="2"/>
                <c:pt idx="0">
                  <c:v>0.7465</c:v>
                </c:pt>
                <c:pt idx="1">
                  <c:v>0.2534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manualLayout>
          <c:xMode val="edge"/>
          <c:yMode val="edge"/>
          <c:x val="0.364539473684211"/>
          <c:y val="0.16087962962963"/>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a:t>
            </a:r>
            <a:r>
              <a:rPr lang="en-US" altLang="zh-CN"/>
              <a:t>4</a:t>
            </a:r>
            <a:r>
              <a:t>：财政拨款收、支决算总计变动情况（万元）</a:t>
            </a:r>
          </a:p>
        </c:rich>
      </c:tx>
      <c:layout>
        <c:manualLayout>
          <c:xMode val="edge"/>
          <c:yMode val="edge"/>
          <c:x val="0.1386542591267"/>
          <c:y val="0.0286989795918367"/>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[工作簿33]Sheet1!$B$7:$C$7</c:f>
              <c:strCache>
                <c:ptCount val="2"/>
                <c:pt idx="0">
                  <c:v>2022年</c:v>
                </c:pt>
                <c:pt idx="1">
                  <c:v>2023年</c:v>
                </c:pt>
              </c:strCache>
            </c:strRef>
          </c:cat>
          <c:val>
            <c:numRef>
              <c:f>[工作簿33]Sheet1!$B$8:$C$8</c:f>
              <c:numCache>
                <c:formatCode>General</c:formatCode>
                <c:ptCount val="2"/>
                <c:pt idx="0">
                  <c:v>4142.85</c:v>
                </c:pt>
                <c:pt idx="1">
                  <c:v>3735.21</c:v>
                </c:pt>
              </c:numCache>
            </c:numRef>
          </c:val>
        </c:ser>
        <c:dLbls>
          <c:showLegendKey val="0"/>
          <c:showVal val="1"/>
          <c:showCatName val="0"/>
          <c:showSerName val="0"/>
          <c:showPercent val="0"/>
          <c:showBubbleSize val="0"/>
        </c:dLbls>
        <c:gapWidth val="246"/>
        <c:overlap val="-28"/>
        <c:axId val="151418020"/>
        <c:axId val="371732494"/>
      </c:barChart>
      <c:catAx>
        <c:axId val="1514180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1732494"/>
        <c:crosses val="autoZero"/>
        <c:auto val="1"/>
        <c:lblAlgn val="ctr"/>
        <c:lblOffset val="100"/>
        <c:noMultiLvlLbl val="0"/>
      </c:catAx>
      <c:valAx>
        <c:axId val="37173249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14180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a:t>
            </a:r>
            <a:r>
              <a:rPr lang="en-US" altLang="zh-CN"/>
              <a:t>5</a:t>
            </a:r>
            <a:r>
              <a:rPr altLang="en-US"/>
              <a:t>：一般公共预算财政拨款支出决算变动情况</a:t>
            </a:r>
            <a:r>
              <a:t>（万元）</a:t>
            </a:r>
          </a:p>
        </c:rich>
      </c:tx>
      <c:layout>
        <c:manualLayout>
          <c:xMode val="edge"/>
          <c:yMode val="edge"/>
          <c:x val="0.1386542591267"/>
          <c:y val="0.0286989795918367"/>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[工作簿33]Sheet1!$B$7:$C$7</c:f>
              <c:strCache>
                <c:ptCount val="2"/>
                <c:pt idx="0">
                  <c:v>2022年</c:v>
                </c:pt>
                <c:pt idx="1">
                  <c:v>2023年</c:v>
                </c:pt>
              </c:strCache>
            </c:strRef>
          </c:cat>
          <c:val>
            <c:numRef>
              <c:f>[工作簿33]Sheet1!$B$8:$C$8</c:f>
              <c:numCache>
                <c:formatCode>General</c:formatCode>
                <c:ptCount val="2"/>
                <c:pt idx="0">
                  <c:v>4142.85</c:v>
                </c:pt>
                <c:pt idx="1">
                  <c:v>3735.21</c:v>
                </c:pt>
              </c:numCache>
            </c:numRef>
          </c:val>
        </c:ser>
        <c:dLbls>
          <c:showLegendKey val="0"/>
          <c:showVal val="1"/>
          <c:showCatName val="0"/>
          <c:showSerName val="0"/>
          <c:showPercent val="0"/>
          <c:showBubbleSize val="0"/>
        </c:dLbls>
        <c:gapWidth val="246"/>
        <c:overlap val="-28"/>
        <c:axId val="151418020"/>
        <c:axId val="371732494"/>
      </c:barChart>
      <c:catAx>
        <c:axId val="15141802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71732494"/>
        <c:crosses val="autoZero"/>
        <c:auto val="1"/>
        <c:lblAlgn val="ctr"/>
        <c:lblOffset val="100"/>
        <c:noMultiLvlLbl val="0"/>
      </c:catAx>
      <c:valAx>
        <c:axId val="371732494"/>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5141802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图6：一般公共预算财政拨款支出决算结构</a:t>
            </a:r>
          </a:p>
        </c:rich>
      </c:tx>
      <c:layout>
        <c:manualLayout>
          <c:xMode val="edge"/>
          <c:yMode val="edge"/>
          <c:x val="0.151973684210526"/>
          <c:y val="0.0396600566572238"/>
        </c:manualLayout>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123263621782968"/>
                  <c:y val="-0.0190556856337351"/>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628661646953334"/>
                  <c:y val="0.011873955778441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574041233702777"/>
                  <c:y val="-0.0227031507779174"/>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0105404784284712"/>
                  <c:y val="-0.043540652397366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[工作簿33]Sheet1!$C$25:$G$25</c:f>
              <c:strCache>
                <c:ptCount val="5"/>
                <c:pt idx="0">
                  <c:v>科学技术支出</c:v>
                </c:pt>
                <c:pt idx="1">
                  <c:v>文化旅游体育与传媒支出</c:v>
                </c:pt>
                <c:pt idx="2">
                  <c:v>社会保障和就业支出</c:v>
                </c:pt>
                <c:pt idx="3">
                  <c:v>卫生健康支出</c:v>
                </c:pt>
                <c:pt idx="4">
                  <c:v>住房保障支出</c:v>
                </c:pt>
              </c:strCache>
            </c:strRef>
          </c:cat>
          <c:val>
            <c:numRef>
              <c:f>[工作簿33]Sheet1!$C$26:$G$26</c:f>
              <c:numCache>
                <c:formatCode>General</c:formatCode>
                <c:ptCount val="5"/>
                <c:pt idx="0">
                  <c:v>27.81</c:v>
                </c:pt>
                <c:pt idx="1">
                  <c:v>3212.24</c:v>
                </c:pt>
                <c:pt idx="2">
                  <c:v>246.31</c:v>
                </c:pt>
                <c:pt idx="3">
                  <c:v>100.27</c:v>
                </c:pt>
                <c:pt idx="4">
                  <c:v>148.58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t>图7：“三公”经费财政拨款支出结构（万元）</a:t>
            </a:r>
          </a:p>
        </c:rich>
      </c:tx>
      <c:layout/>
      <c:overlay val="0"/>
      <c:spPr>
        <a:noFill/>
        <a:ln>
          <a:noFill/>
        </a:ln>
        <a:effectLst/>
      </c:spPr>
    </c:title>
    <c:autoTitleDeleted val="0"/>
    <c:plotArea>
      <c:layout/>
      <c:pieChart>
        <c:varyColors val="1"/>
        <c:ser>
          <c:idx val="0"/>
          <c:order val="0"/>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[工作簿38]Sheet1!$A$1:$C$1</c:f>
              <c:strCache>
                <c:ptCount val="3"/>
                <c:pt idx="0">
                  <c:v>因公出国（境）费支出决算</c:v>
                </c:pt>
                <c:pt idx="1">
                  <c:v>公务用车购置及运行维护费支出</c:v>
                </c:pt>
                <c:pt idx="2">
                  <c:v>公务接待费支出</c:v>
                </c:pt>
              </c:strCache>
            </c:strRef>
          </c:cat>
          <c:val>
            <c:numRef>
              <c:f>[工作簿38]Sheet1!$A$2:$C$2</c:f>
              <c:numCache>
                <c:formatCode>General</c:formatCode>
                <c:ptCount val="3"/>
                <c:pt idx="0">
                  <c:v>0</c:v>
                </c:pt>
                <c:pt idx="1">
                  <c:v>173.48</c:v>
                </c:pt>
                <c:pt idx="2">
                  <c:v>47.27</c:v>
                </c:pt>
              </c:numCache>
            </c:numRef>
          </c:val>
        </c:ser>
        <c:ser>
          <c:idx val="1"/>
          <c:order val="1"/>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[工作簿38]Sheet1!$A$1:$C$1</c:f>
              <c:strCache>
                <c:ptCount val="3"/>
                <c:pt idx="0">
                  <c:v>因公出国（境）费支出决算</c:v>
                </c:pt>
                <c:pt idx="1">
                  <c:v>公务用车购置及运行维护费支出</c:v>
                </c:pt>
                <c:pt idx="2">
                  <c:v>公务接待费支出</c:v>
                </c:pt>
              </c:strCache>
            </c:strRef>
          </c:cat>
          <c:val>
            <c:numRef>
              <c:f>[工作簿38]Sheet1!$A$3:$C$3</c:f>
              <c:numCache>
                <c:formatCode>General</c:formatCode>
                <c:ptCount val="3"/>
                <c:pt idx="0">
                  <c:v>0</c:v>
                </c:pt>
                <c:pt idx="1">
                  <c:v>78.58</c:v>
                </c:pt>
                <c:pt idx="2">
                  <c:v>21.42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72</Pages>
  <Words>17291</Words>
  <Characters>19426</Characters>
  <Lines>72</Lines>
  <Paragraphs>20</Paragraphs>
  <TotalTime>21</TotalTime>
  <ScaleCrop>false</ScaleCrop>
  <LinksUpToDate>false</LinksUpToDate>
  <CharactersWithSpaces>19459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薄荷绿°</cp:lastModifiedBy>
  <cp:lastPrinted>2023-08-03T10:35:00Z</cp:lastPrinted>
  <dcterms:modified xsi:type="dcterms:W3CDTF">2024-09-19T01:40:06Z</dcterms:modified>
  <dc:title>四川省***</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EA638394C95D44E5A2D1EFF1681F69F5_12</vt:lpwstr>
  </property>
</Properties>
</file>