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黑体" w:hAnsi="黑体" w:eastAsia="黑体"/>
          <w:sz w:val="72"/>
          <w:szCs w:val="72"/>
        </w:rPr>
      </w:pPr>
      <w:bookmarkStart w:id="0" w:name="_Toc15377193"/>
      <w:bookmarkStart w:id="1" w:name="_Toc15377425"/>
      <w:bookmarkStart w:id="2" w:name="_Toc15378441"/>
      <w:bookmarkStart w:id="3" w:name="_Toc15396475"/>
      <w:bookmarkStart w:id="4" w:name="_Toc15396597"/>
      <w:bookmarkStart w:id="5" w:name="_Toc15306267"/>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黑体" w:hAnsi="黑体" w:eastAsia="黑体"/>
          <w:sz w:val="72"/>
          <w:szCs w:val="72"/>
        </w:rPr>
      </w:pP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ascii="黑体" w:hAnsi="黑体" w:eastAsia="黑体"/>
          <w:sz w:val="72"/>
          <w:szCs w:val="72"/>
        </w:rPr>
      </w:pPr>
      <w:r>
        <w:rPr>
          <w:rFonts w:ascii="黑体" w:hAnsi="黑体" w:eastAsia="黑体"/>
          <w:sz w:val="72"/>
          <w:szCs w:val="72"/>
        </w:rPr>
        <w:t>2020</w:t>
      </w:r>
      <w:r>
        <w:rPr>
          <w:rFonts w:hint="eastAsia" w:ascii="黑体" w:hAnsi="黑体" w:eastAsia="黑体"/>
          <w:sz w:val="72"/>
          <w:szCs w:val="72"/>
        </w:rPr>
        <w:t>年度</w:t>
      </w:r>
      <w:bookmarkEnd w:id="0"/>
      <w:bookmarkEnd w:id="1"/>
      <w:bookmarkEnd w:id="2"/>
      <w:bookmarkEnd w:id="3"/>
      <w:bookmarkEnd w:id="4"/>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ascii="方正小标宋简体" w:eastAsia="方正小标宋简体"/>
          <w:sz w:val="72"/>
          <w:szCs w:val="72"/>
        </w:rPr>
      </w:pPr>
      <w:bookmarkStart w:id="6" w:name="_Toc15377194"/>
      <w:bookmarkStart w:id="7" w:name="_Toc15396476"/>
      <w:bookmarkStart w:id="8" w:name="_Toc15396598"/>
      <w:bookmarkStart w:id="9" w:name="_Toc15378442"/>
      <w:bookmarkStart w:id="10" w:name="_Toc15377426"/>
      <w:r>
        <w:rPr>
          <w:rFonts w:hint="eastAsia" w:ascii="方正小标宋简体" w:eastAsia="方正小标宋简体"/>
          <w:sz w:val="72"/>
          <w:szCs w:val="72"/>
        </w:rPr>
        <w:t>四川省阿坝州</w:t>
      </w:r>
      <w:bookmarkEnd w:id="5"/>
      <w:bookmarkStart w:id="11" w:name="_Toc15306268"/>
      <w:r>
        <w:rPr>
          <w:rFonts w:hint="eastAsia" w:ascii="方正小标宋简体" w:eastAsia="方正小标宋简体"/>
          <w:sz w:val="72"/>
          <w:szCs w:val="72"/>
          <w:lang w:val="en-US" w:eastAsia="zh-CN"/>
        </w:rPr>
        <w:t>达古冰川管理局</w:t>
      </w:r>
      <w:r>
        <w:rPr>
          <w:rFonts w:hint="eastAsia" w:ascii="方正小标宋简体" w:eastAsia="方正小标宋简体"/>
          <w:sz w:val="72"/>
          <w:szCs w:val="72"/>
        </w:rPr>
        <w:t>部门决算</w:t>
      </w:r>
      <w:bookmarkEnd w:id="6"/>
      <w:bookmarkEnd w:id="7"/>
      <w:bookmarkEnd w:id="8"/>
      <w:bookmarkEnd w:id="9"/>
      <w:bookmarkEnd w:id="10"/>
      <w:bookmarkEnd w:id="11"/>
    </w:p>
    <w:p>
      <w:pPr>
        <w:pageBreakBefore w:val="0"/>
        <w:widowControl/>
        <w:kinsoku/>
        <w:wordWrap/>
        <w:overflowPunct/>
        <w:topLinePunct w:val="0"/>
        <w:bidi w:val="0"/>
        <w:spacing w:line="480" w:lineRule="exact"/>
        <w:jc w:val="center"/>
        <w:rPr>
          <w:rFonts w:ascii="方正小标宋简体" w:hAnsi="宋体" w:eastAsia="方正小标宋简体"/>
          <w:color w:val="000000"/>
          <w:sz w:val="36"/>
          <w:szCs w:val="36"/>
        </w:rPr>
      </w:pPr>
    </w:p>
    <w:p>
      <w:pPr>
        <w:pageBreakBefore w:val="0"/>
        <w:kinsoku/>
        <w:wordWrap/>
        <w:overflowPunct/>
        <w:topLinePunct w:val="0"/>
        <w:bidi w:val="0"/>
        <w:spacing w:line="480" w:lineRule="exact"/>
        <w:rPr>
          <w:rFonts w:ascii="方正小标宋简体" w:hAnsi="宋体" w:eastAsia="方正小标宋简体"/>
          <w:sz w:val="36"/>
          <w:szCs w:val="36"/>
        </w:rPr>
      </w:pPr>
    </w:p>
    <w:p>
      <w:pPr>
        <w:pageBreakBefore w:val="0"/>
        <w:kinsoku/>
        <w:wordWrap/>
        <w:overflowPunct/>
        <w:topLinePunct w:val="0"/>
        <w:bidi w:val="0"/>
        <w:spacing w:line="480" w:lineRule="exact"/>
        <w:rPr>
          <w:rFonts w:ascii="方正小标宋简体" w:hAnsi="宋体" w:eastAsia="方正小标宋简体"/>
          <w:sz w:val="36"/>
          <w:szCs w:val="36"/>
        </w:rPr>
      </w:pPr>
    </w:p>
    <w:p>
      <w:pPr>
        <w:pageBreakBefore w:val="0"/>
        <w:kinsoku/>
        <w:wordWrap/>
        <w:overflowPunct/>
        <w:topLinePunct w:val="0"/>
        <w:bidi w:val="0"/>
        <w:spacing w:line="480" w:lineRule="exact"/>
        <w:rPr>
          <w:rFonts w:ascii="方正小标宋简体" w:hAnsi="宋体" w:eastAsia="方正小标宋简体"/>
          <w:sz w:val="36"/>
          <w:szCs w:val="36"/>
        </w:rPr>
      </w:pPr>
    </w:p>
    <w:p>
      <w:pPr>
        <w:pageBreakBefore w:val="0"/>
        <w:kinsoku/>
        <w:wordWrap/>
        <w:overflowPunct/>
        <w:topLinePunct w:val="0"/>
        <w:bidi w:val="0"/>
        <w:spacing w:line="480" w:lineRule="exact"/>
        <w:rPr>
          <w:rFonts w:ascii="方正小标宋简体" w:hAnsi="宋体" w:eastAsia="方正小标宋简体"/>
          <w:sz w:val="36"/>
          <w:szCs w:val="36"/>
        </w:rPr>
      </w:pPr>
    </w:p>
    <w:p>
      <w:pPr>
        <w:pageBreakBefore w:val="0"/>
        <w:kinsoku/>
        <w:wordWrap/>
        <w:overflowPunct/>
        <w:topLinePunct w:val="0"/>
        <w:bidi w:val="0"/>
        <w:spacing w:line="480" w:lineRule="exact"/>
        <w:rPr>
          <w:rFonts w:ascii="方正小标宋简体" w:hAnsi="宋体" w:eastAsia="方正小标宋简体"/>
          <w:sz w:val="36"/>
          <w:szCs w:val="36"/>
        </w:rPr>
      </w:pPr>
    </w:p>
    <w:p>
      <w:pPr>
        <w:pageBreakBefore w:val="0"/>
        <w:kinsoku/>
        <w:wordWrap/>
        <w:overflowPunct/>
        <w:topLinePunct w:val="0"/>
        <w:bidi w:val="0"/>
        <w:spacing w:line="480" w:lineRule="exact"/>
        <w:rPr>
          <w:rFonts w:ascii="方正小标宋简体" w:hAnsi="宋体" w:eastAsia="方正小标宋简体"/>
          <w:sz w:val="36"/>
          <w:szCs w:val="36"/>
        </w:rPr>
      </w:pPr>
    </w:p>
    <w:p>
      <w:pPr>
        <w:pageBreakBefore w:val="0"/>
        <w:kinsoku/>
        <w:wordWrap/>
        <w:overflowPunct/>
        <w:topLinePunct w:val="0"/>
        <w:bidi w:val="0"/>
        <w:spacing w:line="480" w:lineRule="exact"/>
        <w:rPr>
          <w:rFonts w:ascii="方正小标宋简体" w:hAnsi="宋体" w:eastAsia="方正小标宋简体"/>
          <w:sz w:val="36"/>
          <w:szCs w:val="36"/>
        </w:rPr>
      </w:pPr>
    </w:p>
    <w:p>
      <w:pPr>
        <w:pageBreakBefore w:val="0"/>
        <w:kinsoku/>
        <w:wordWrap/>
        <w:overflowPunct/>
        <w:topLinePunct w:val="0"/>
        <w:bidi w:val="0"/>
        <w:spacing w:line="480" w:lineRule="exact"/>
        <w:rPr>
          <w:rFonts w:ascii="方正小标宋简体" w:hAnsi="宋体" w:eastAsia="方正小标宋简体"/>
          <w:sz w:val="36"/>
          <w:szCs w:val="36"/>
        </w:rPr>
      </w:pPr>
    </w:p>
    <w:p>
      <w:pPr>
        <w:pageBreakBefore w:val="0"/>
        <w:kinsoku/>
        <w:wordWrap/>
        <w:overflowPunct/>
        <w:topLinePunct w:val="0"/>
        <w:bidi w:val="0"/>
        <w:spacing w:line="480" w:lineRule="exact"/>
        <w:rPr>
          <w:rFonts w:ascii="方正小标宋简体" w:hAnsi="宋体" w:eastAsia="方正小标宋简体"/>
          <w:sz w:val="36"/>
          <w:szCs w:val="36"/>
        </w:rPr>
      </w:pPr>
    </w:p>
    <w:p>
      <w:pPr>
        <w:pageBreakBefore w:val="0"/>
        <w:kinsoku/>
        <w:wordWrap/>
        <w:overflowPunct/>
        <w:topLinePunct w:val="0"/>
        <w:bidi w:val="0"/>
        <w:spacing w:line="480" w:lineRule="exact"/>
        <w:rPr>
          <w:rFonts w:ascii="方正小标宋简体" w:hAnsi="宋体" w:eastAsia="方正小标宋简体"/>
          <w:sz w:val="36"/>
          <w:szCs w:val="36"/>
        </w:rPr>
      </w:pPr>
    </w:p>
    <w:p>
      <w:pPr>
        <w:pageBreakBefore w:val="0"/>
        <w:kinsoku/>
        <w:wordWrap/>
        <w:overflowPunct/>
        <w:topLinePunct w:val="0"/>
        <w:bidi w:val="0"/>
        <w:spacing w:line="480" w:lineRule="exact"/>
        <w:rPr>
          <w:rFonts w:ascii="方正小标宋简体" w:hAnsi="宋体" w:eastAsia="方正小标宋简体"/>
          <w:sz w:val="36"/>
          <w:szCs w:val="36"/>
        </w:rPr>
      </w:pPr>
    </w:p>
    <w:p>
      <w:pPr>
        <w:pageBreakBefore w:val="0"/>
        <w:kinsoku/>
        <w:wordWrap/>
        <w:overflowPunct/>
        <w:topLinePunct w:val="0"/>
        <w:bidi w:val="0"/>
        <w:spacing w:line="480" w:lineRule="exact"/>
        <w:rPr>
          <w:rFonts w:ascii="方正小标宋简体" w:hAnsi="宋体" w:eastAsia="方正小标宋简体"/>
          <w:sz w:val="36"/>
          <w:szCs w:val="36"/>
        </w:rPr>
      </w:pPr>
    </w:p>
    <w:p>
      <w:pPr>
        <w:pageBreakBefore w:val="0"/>
        <w:kinsoku/>
        <w:wordWrap/>
        <w:overflowPunct/>
        <w:topLinePunct w:val="0"/>
        <w:bidi w:val="0"/>
        <w:spacing w:line="480" w:lineRule="exact"/>
        <w:rPr>
          <w:rFonts w:ascii="方正小标宋简体" w:hAnsi="宋体" w:eastAsia="方正小标宋简体"/>
          <w:sz w:val="36"/>
          <w:szCs w:val="36"/>
        </w:rPr>
      </w:pPr>
    </w:p>
    <w:p>
      <w:pPr>
        <w:pageBreakBefore w:val="0"/>
        <w:kinsoku/>
        <w:wordWrap/>
        <w:overflowPunct/>
        <w:topLinePunct w:val="0"/>
        <w:bidi w:val="0"/>
        <w:spacing w:line="480" w:lineRule="exact"/>
        <w:rPr>
          <w:rFonts w:ascii="方正小标宋简体" w:hAnsi="宋体" w:eastAsia="方正小标宋简体"/>
          <w:sz w:val="36"/>
          <w:szCs w:val="36"/>
        </w:rPr>
      </w:pPr>
    </w:p>
    <w:p>
      <w:pPr>
        <w:pageBreakBefore w:val="0"/>
        <w:kinsoku/>
        <w:wordWrap/>
        <w:overflowPunct/>
        <w:topLinePunct w:val="0"/>
        <w:autoSpaceDE w:val="0"/>
        <w:autoSpaceDN w:val="0"/>
        <w:bidi w:val="0"/>
        <w:adjustRightInd w:val="0"/>
        <w:spacing w:line="480" w:lineRule="exact"/>
        <w:ind w:left="420" w:leftChars="200"/>
        <w:jc w:val="left"/>
        <w:rPr>
          <w:rFonts w:ascii="宋体" w:hAnsi="宋体"/>
          <w:sz w:val="32"/>
          <w:szCs w:val="32"/>
        </w:rPr>
      </w:pPr>
      <w:r>
        <w:rPr>
          <w:rFonts w:hint="eastAsia" w:ascii="宋体" w:hAnsi="宋体" w:cs="仿宋_GB2312"/>
          <w:sz w:val="32"/>
          <w:szCs w:val="32"/>
        </w:rPr>
        <w:t>保密审查情况：已审查，内容审定</w:t>
      </w:r>
    </w:p>
    <w:p>
      <w:pPr>
        <w:pageBreakBefore w:val="0"/>
        <w:kinsoku/>
        <w:wordWrap/>
        <w:overflowPunct/>
        <w:topLinePunct w:val="0"/>
        <w:autoSpaceDE w:val="0"/>
        <w:autoSpaceDN w:val="0"/>
        <w:bidi w:val="0"/>
        <w:adjustRightInd w:val="0"/>
        <w:spacing w:line="480" w:lineRule="exact"/>
        <w:ind w:left="420" w:leftChars="200"/>
        <w:jc w:val="left"/>
        <w:rPr>
          <w:rFonts w:ascii="宋体" w:hAnsi="宋体"/>
          <w:sz w:val="32"/>
          <w:szCs w:val="32"/>
        </w:rPr>
      </w:pPr>
      <w:r>
        <w:rPr>
          <w:rFonts w:hint="eastAsia" w:ascii="宋体" w:hAnsi="宋体" w:cs="仿宋_GB2312"/>
          <w:sz w:val="32"/>
          <w:szCs w:val="32"/>
        </w:rPr>
        <w:t>部门主要负责人审签情况：已审签，同意对外公开</w:t>
      </w:r>
    </w:p>
    <w:p>
      <w:pPr>
        <w:pageBreakBefore w:val="0"/>
        <w:widowControl/>
        <w:kinsoku/>
        <w:wordWrap/>
        <w:overflowPunct/>
        <w:topLinePunct w:val="0"/>
        <w:bidi w:val="0"/>
        <w:spacing w:line="480" w:lineRule="exact"/>
        <w:jc w:val="center"/>
        <w:rPr>
          <w:rFonts w:ascii="黑体" w:hAnsi="黑体" w:eastAsia="黑体"/>
          <w:color w:val="000000"/>
          <w:sz w:val="48"/>
          <w:szCs w:val="48"/>
        </w:rPr>
      </w:pPr>
      <w:r>
        <w:rPr>
          <w:rFonts w:ascii="方正小标宋简体" w:hAnsi="宋体" w:eastAsia="方正小标宋简体"/>
          <w:sz w:val="36"/>
          <w:szCs w:val="36"/>
        </w:rPr>
        <w:br w:type="page"/>
      </w:r>
      <w:r>
        <w:rPr>
          <w:rFonts w:hint="eastAsia" w:ascii="黑体" w:hAnsi="黑体" w:eastAsia="黑体"/>
          <w:color w:val="000000"/>
          <w:sz w:val="48"/>
          <w:szCs w:val="48"/>
        </w:rPr>
        <w:t>目录</w:t>
      </w:r>
    </w:p>
    <w:p>
      <w:pPr>
        <w:pStyle w:val="13"/>
        <w:pageBreakBefore w:val="0"/>
        <w:kinsoku/>
        <w:wordWrap/>
        <w:overflowPunct/>
        <w:topLinePunct w:val="0"/>
        <w:bidi w:val="0"/>
        <w:spacing w:before="0" w:after="0" w:line="480" w:lineRule="exact"/>
        <w:jc w:val="center"/>
        <w:rPr>
          <w:rFonts w:hAnsiTheme="minorHAnsi"/>
          <w:b w:val="0"/>
          <w:bCs w:val="0"/>
          <w:sz w:val="24"/>
          <w:szCs w:val="24"/>
        </w:rPr>
      </w:pPr>
      <w:r>
        <w:rPr>
          <w:rFonts w:hint="eastAsia" w:hAnsiTheme="minorHAnsi"/>
          <w:b w:val="0"/>
          <w:bCs w:val="0"/>
          <w:sz w:val="24"/>
          <w:szCs w:val="24"/>
        </w:rPr>
        <w:t xml:space="preserve">公开时间：2021年 </w:t>
      </w:r>
      <w:r>
        <w:rPr>
          <w:rFonts w:hAnsiTheme="minorHAnsi"/>
          <w:b w:val="0"/>
          <w:bCs w:val="0"/>
          <w:sz w:val="24"/>
          <w:szCs w:val="24"/>
        </w:rPr>
        <w:t>9</w:t>
      </w:r>
      <w:r>
        <w:rPr>
          <w:rFonts w:hint="eastAsia" w:hAnsiTheme="minorHAnsi"/>
          <w:b w:val="0"/>
          <w:bCs w:val="0"/>
          <w:sz w:val="24"/>
          <w:szCs w:val="24"/>
        </w:rPr>
        <w:t>月</w:t>
      </w:r>
      <w:r>
        <w:rPr>
          <w:rFonts w:hint="eastAsia" w:hAnsiTheme="minorHAnsi"/>
          <w:b w:val="0"/>
          <w:bCs w:val="0"/>
          <w:sz w:val="24"/>
          <w:szCs w:val="24"/>
          <w:lang w:val="en-US" w:eastAsia="zh-CN"/>
        </w:rPr>
        <w:t>22</w:t>
      </w:r>
      <w:r>
        <w:rPr>
          <w:rFonts w:hint="eastAsia" w:hAnsiTheme="minorHAnsi"/>
          <w:b w:val="0"/>
          <w:bCs w:val="0"/>
          <w:sz w:val="24"/>
          <w:szCs w:val="24"/>
        </w:rPr>
        <w:t xml:space="preserve"> 日</w:t>
      </w:r>
    </w:p>
    <w:p>
      <w:pPr>
        <w:pStyle w:val="13"/>
        <w:pageBreakBefore w:val="0"/>
        <w:tabs>
          <w:tab w:val="right" w:leader="dot" w:pos="8296"/>
        </w:tabs>
        <w:kinsoku/>
        <w:wordWrap/>
        <w:overflowPunct/>
        <w:topLinePunct w:val="0"/>
        <w:bidi w:val="0"/>
        <w:spacing w:before="0" w:after="0" w:line="480" w:lineRule="exact"/>
        <w:rPr>
          <w:rFonts w:hAnsiTheme="minorHAnsi" w:eastAsiaTheme="minorEastAsia" w:cstheme="minorBidi"/>
          <w:b w:val="0"/>
          <w:bCs w:val="0"/>
          <w:caps w:val="0"/>
          <w:sz w:val="21"/>
          <w:szCs w:val="22"/>
        </w:rPr>
      </w:pPr>
      <w:r>
        <w:rPr>
          <w:b w:val="0"/>
          <w:bCs w:val="0"/>
          <w:caps w:val="0"/>
        </w:rPr>
        <w:fldChar w:fldCharType="begin"/>
      </w:r>
      <w:r>
        <w:rPr>
          <w:b w:val="0"/>
          <w:bCs w:val="0"/>
          <w:caps w:val="0"/>
        </w:rPr>
        <w:instrText xml:space="preserve"> TOC \o \u </w:instrText>
      </w:r>
      <w:r>
        <w:rPr>
          <w:b w:val="0"/>
          <w:bCs w:val="0"/>
          <w:caps w:val="0"/>
        </w:rPr>
        <w:fldChar w:fldCharType="separate"/>
      </w:r>
      <w:r>
        <w:rPr>
          <w:rFonts w:ascii="黑体" w:hAnsi="黑体" w:eastAsia="黑体"/>
          <w:b w:val="0"/>
        </w:rPr>
        <w:t xml:space="preserve">第一部分 </w:t>
      </w:r>
      <w:r>
        <w:rPr>
          <w:rFonts w:ascii="黑体" w:hAnsi="黑体" w:eastAsia="黑体"/>
          <w:b w:val="0"/>
          <w:bCs w:val="0"/>
        </w:rPr>
        <w:t>部门概况</w:t>
      </w:r>
      <w:r>
        <w:tab/>
      </w:r>
      <w:r>
        <w:fldChar w:fldCharType="begin"/>
      </w:r>
      <w:r>
        <w:instrText xml:space="preserve"> PAGEREF _Toc79163851 \h </w:instrText>
      </w:r>
      <w:r>
        <w:fldChar w:fldCharType="separate"/>
      </w:r>
      <w:r>
        <w:t>4</w:t>
      </w:r>
      <w:r>
        <w:fldChar w:fldCharType="end"/>
      </w:r>
    </w:p>
    <w:p>
      <w:pPr>
        <w:pStyle w:val="16"/>
        <w:pageBreakBefore w:val="0"/>
        <w:tabs>
          <w:tab w:val="right" w:leader="dot" w:pos="8296"/>
        </w:tabs>
        <w:kinsoku/>
        <w:wordWrap/>
        <w:overflowPunct/>
        <w:topLinePunct w:val="0"/>
        <w:bidi w:val="0"/>
        <w:spacing w:line="480" w:lineRule="exact"/>
        <w:rPr>
          <w:rFonts w:hAnsiTheme="minorHAnsi" w:eastAsiaTheme="minorEastAsia" w:cstheme="minorBidi"/>
          <w:smallCaps w:val="0"/>
          <w:sz w:val="21"/>
          <w:szCs w:val="22"/>
        </w:rPr>
      </w:pPr>
      <w:r>
        <w:rPr>
          <w:rFonts w:ascii="黑体" w:hAnsi="黑体" w:eastAsia="黑体"/>
          <w:color w:val="000000"/>
        </w:rPr>
        <w:t>一、基</w:t>
      </w:r>
      <w:r>
        <w:rPr>
          <w:rFonts w:ascii="黑体" w:hAnsi="黑体" w:eastAsia="黑体"/>
        </w:rPr>
        <w:t>本职能及主要工作</w:t>
      </w:r>
      <w:r>
        <w:tab/>
      </w:r>
      <w:r>
        <w:fldChar w:fldCharType="begin"/>
      </w:r>
      <w:r>
        <w:instrText xml:space="preserve"> PAGEREF _Toc79163852 \h </w:instrText>
      </w:r>
      <w:r>
        <w:fldChar w:fldCharType="separate"/>
      </w:r>
      <w:r>
        <w:t>4</w:t>
      </w:r>
      <w:r>
        <w:fldChar w:fldCharType="end"/>
      </w:r>
    </w:p>
    <w:p>
      <w:pPr>
        <w:pStyle w:val="8"/>
        <w:pageBreakBefore w:val="0"/>
        <w:tabs>
          <w:tab w:val="right" w:leader="dot" w:pos="8296"/>
        </w:tabs>
        <w:kinsoku/>
        <w:wordWrap/>
        <w:overflowPunct/>
        <w:topLinePunct w:val="0"/>
        <w:bidi w:val="0"/>
        <w:spacing w:line="480" w:lineRule="exact"/>
        <w:rPr>
          <w:rFonts w:hAnsiTheme="minorHAnsi" w:eastAsiaTheme="minorEastAsia" w:cstheme="minorBidi"/>
          <w:i w:val="0"/>
          <w:iCs w:val="0"/>
          <w:sz w:val="21"/>
          <w:szCs w:val="22"/>
        </w:rPr>
      </w:pPr>
      <w:r>
        <w:rPr>
          <w:rFonts w:ascii="仿宋" w:hAnsi="仿宋" w:eastAsia="仿宋"/>
          <w:bCs/>
          <w:color w:val="000000"/>
        </w:rPr>
        <w:t>（一）主要职能。</w:t>
      </w:r>
      <w:r>
        <w:tab/>
      </w:r>
      <w:bookmarkStart w:id="161" w:name="_GoBack"/>
      <w:bookmarkEnd w:id="161"/>
      <w:r>
        <w:fldChar w:fldCharType="begin"/>
      </w:r>
      <w:r>
        <w:instrText xml:space="preserve"> PAGEREF _Toc79163853 \h </w:instrText>
      </w:r>
      <w:r>
        <w:fldChar w:fldCharType="separate"/>
      </w:r>
      <w:r>
        <w:t>4</w:t>
      </w:r>
      <w:r>
        <w:fldChar w:fldCharType="end"/>
      </w:r>
    </w:p>
    <w:p>
      <w:pPr>
        <w:pStyle w:val="8"/>
        <w:pageBreakBefore w:val="0"/>
        <w:tabs>
          <w:tab w:val="right" w:leader="dot" w:pos="8296"/>
        </w:tabs>
        <w:kinsoku/>
        <w:wordWrap/>
        <w:overflowPunct/>
        <w:topLinePunct w:val="0"/>
        <w:bidi w:val="0"/>
        <w:spacing w:line="480" w:lineRule="exact"/>
        <w:rPr>
          <w:rFonts w:hAnsiTheme="minorHAnsi" w:eastAsiaTheme="minorEastAsia" w:cstheme="minorBidi"/>
          <w:i w:val="0"/>
          <w:iCs w:val="0"/>
          <w:sz w:val="21"/>
          <w:szCs w:val="22"/>
        </w:rPr>
      </w:pPr>
      <w:r>
        <w:rPr>
          <w:rFonts w:ascii="仿宋" w:hAnsi="仿宋" w:eastAsia="仿宋"/>
          <w:bCs/>
          <w:color w:val="000000"/>
        </w:rPr>
        <w:t>（二）2020年重点工作完成情况。</w:t>
      </w:r>
      <w:r>
        <w:tab/>
      </w:r>
      <w:r>
        <w:fldChar w:fldCharType="begin"/>
      </w:r>
      <w:r>
        <w:instrText xml:space="preserve"> PAGEREF _Toc79163854 \h </w:instrText>
      </w:r>
      <w:r>
        <w:fldChar w:fldCharType="separate"/>
      </w:r>
      <w:r>
        <w:t>4</w:t>
      </w:r>
      <w:r>
        <w:fldChar w:fldCharType="end"/>
      </w:r>
    </w:p>
    <w:p>
      <w:pPr>
        <w:pStyle w:val="16"/>
        <w:pageBreakBefore w:val="0"/>
        <w:tabs>
          <w:tab w:val="right" w:leader="dot" w:pos="8296"/>
        </w:tabs>
        <w:kinsoku/>
        <w:wordWrap/>
        <w:overflowPunct/>
        <w:topLinePunct w:val="0"/>
        <w:bidi w:val="0"/>
        <w:spacing w:line="480" w:lineRule="exact"/>
        <w:rPr>
          <w:rFonts w:hAnsiTheme="minorHAnsi" w:eastAsiaTheme="minorEastAsia" w:cstheme="minorBidi"/>
          <w:i w:val="0"/>
          <w:iCs w:val="0"/>
          <w:sz w:val="21"/>
          <w:szCs w:val="22"/>
        </w:rPr>
      </w:pPr>
      <w:r>
        <w:rPr>
          <w:rFonts w:ascii="黑体" w:eastAsia="黑体"/>
          <w:color w:val="000000"/>
        </w:rPr>
        <w:t>二、</w:t>
      </w:r>
      <w:r>
        <w:rPr>
          <w:rFonts w:ascii="黑体" w:hAnsi="黑体" w:eastAsia="黑体"/>
          <w:color w:val="000000"/>
        </w:rPr>
        <w:t>机</w:t>
      </w:r>
      <w:r>
        <w:rPr>
          <w:rFonts w:ascii="黑体" w:hAnsi="黑体" w:eastAsia="黑体"/>
        </w:rPr>
        <w:t>构设置</w:t>
      </w:r>
      <w:r>
        <w:tab/>
      </w:r>
      <w:r>
        <w:rPr>
          <w:rFonts w:hint="eastAsia"/>
          <w:lang w:val="en-US" w:eastAsia="zh-CN"/>
        </w:rPr>
        <w:t>6</w:t>
      </w:r>
    </w:p>
    <w:p>
      <w:pPr>
        <w:pStyle w:val="13"/>
        <w:pageBreakBefore w:val="0"/>
        <w:tabs>
          <w:tab w:val="right" w:leader="dot" w:pos="8296"/>
        </w:tabs>
        <w:kinsoku/>
        <w:wordWrap/>
        <w:overflowPunct/>
        <w:topLinePunct w:val="0"/>
        <w:bidi w:val="0"/>
        <w:spacing w:before="0" w:after="0" w:line="480" w:lineRule="exact"/>
        <w:rPr>
          <w:rFonts w:hint="eastAsia" w:hAnsiTheme="minorHAnsi" w:eastAsiaTheme="minorHAnsi" w:cstheme="minorBidi"/>
          <w:b w:val="0"/>
          <w:bCs w:val="0"/>
          <w:caps w:val="0"/>
          <w:sz w:val="21"/>
          <w:szCs w:val="22"/>
          <w:lang w:eastAsia="zh-CN"/>
        </w:rPr>
      </w:pPr>
      <w:r>
        <w:rPr>
          <w:rFonts w:ascii="黑体" w:hAnsi="黑体" w:eastAsia="黑体"/>
          <w:b w:val="0"/>
          <w:color w:val="000000"/>
        </w:rPr>
        <w:t>第二部分</w:t>
      </w:r>
      <w:r>
        <w:rPr>
          <w:rFonts w:ascii="黑体" w:hAnsi="黑体" w:eastAsia="黑体"/>
          <w:color w:val="000000"/>
        </w:rPr>
        <w:t xml:space="preserve"> </w:t>
      </w:r>
      <w:r>
        <w:rPr>
          <w:rFonts w:ascii="黑体" w:hAnsi="黑体" w:eastAsia="黑体"/>
          <w:b w:val="0"/>
          <w:bCs w:val="0"/>
        </w:rPr>
        <w:t>2020年度部门决算情况说明</w:t>
      </w:r>
      <w:r>
        <w:tab/>
      </w:r>
      <w:r>
        <w:rPr>
          <w:rFonts w:hint="eastAsia"/>
          <w:lang w:val="en-US" w:eastAsia="zh-CN"/>
        </w:rPr>
        <w:t>6</w:t>
      </w:r>
    </w:p>
    <w:p>
      <w:pPr>
        <w:pStyle w:val="16"/>
        <w:pageBreakBefore w:val="0"/>
        <w:tabs>
          <w:tab w:val="left" w:pos="840"/>
          <w:tab w:val="right" w:leader="dot" w:pos="8296"/>
        </w:tabs>
        <w:kinsoku/>
        <w:wordWrap/>
        <w:overflowPunct/>
        <w:topLinePunct w:val="0"/>
        <w:bidi w:val="0"/>
        <w:spacing w:line="480" w:lineRule="exact"/>
        <w:rPr>
          <w:rFonts w:hint="eastAsia" w:hAnsiTheme="minorHAnsi" w:eastAsiaTheme="minorHAnsi" w:cstheme="minorBidi"/>
          <w:smallCaps w:val="0"/>
          <w:sz w:val="21"/>
          <w:szCs w:val="22"/>
          <w:lang w:eastAsia="zh-CN"/>
        </w:rPr>
      </w:pPr>
      <w:r>
        <w:rPr>
          <w:rFonts w:ascii="黑体" w:hAnsi="黑体" w:eastAsia="黑体"/>
          <w:bCs/>
        </w:rPr>
        <w:t>一、</w:t>
      </w:r>
      <w:r>
        <w:rPr>
          <w:rFonts w:hAnsiTheme="minorHAnsi" w:eastAsiaTheme="minorEastAsia" w:cstheme="minorBidi"/>
          <w:smallCaps w:val="0"/>
          <w:sz w:val="21"/>
          <w:szCs w:val="22"/>
        </w:rPr>
        <w:tab/>
      </w:r>
      <w:r>
        <w:rPr>
          <w:rFonts w:ascii="黑体" w:hAnsi="黑体" w:eastAsia="黑体"/>
          <w:color w:val="000000"/>
        </w:rPr>
        <w:t>收</w:t>
      </w:r>
      <w:r>
        <w:rPr>
          <w:rFonts w:ascii="黑体" w:hAnsi="黑体" w:eastAsia="黑体"/>
          <w:bCs/>
        </w:rPr>
        <w:t>入支出决算总体情况说明</w:t>
      </w:r>
      <w:r>
        <w:tab/>
      </w:r>
      <w:r>
        <w:rPr>
          <w:rFonts w:hint="eastAsia"/>
          <w:lang w:val="en-US" w:eastAsia="zh-CN"/>
        </w:rPr>
        <w:t>6</w:t>
      </w:r>
    </w:p>
    <w:p>
      <w:pPr>
        <w:pStyle w:val="16"/>
        <w:pageBreakBefore w:val="0"/>
        <w:tabs>
          <w:tab w:val="left" w:pos="840"/>
          <w:tab w:val="right" w:leader="dot" w:pos="8296"/>
        </w:tabs>
        <w:kinsoku/>
        <w:wordWrap/>
        <w:overflowPunct/>
        <w:topLinePunct w:val="0"/>
        <w:bidi w:val="0"/>
        <w:spacing w:line="480" w:lineRule="exact"/>
        <w:rPr>
          <w:rFonts w:hint="eastAsia" w:hAnsiTheme="minorHAnsi" w:eastAsiaTheme="minorHAnsi" w:cstheme="minorBidi"/>
          <w:smallCaps w:val="0"/>
          <w:sz w:val="21"/>
          <w:szCs w:val="22"/>
          <w:lang w:eastAsia="zh-CN"/>
        </w:rPr>
      </w:pPr>
      <w:r>
        <w:rPr>
          <w:rFonts w:ascii="黑体" w:hAnsi="黑体" w:eastAsia="黑体"/>
          <w:bCs/>
        </w:rPr>
        <w:t>二、</w:t>
      </w:r>
      <w:r>
        <w:rPr>
          <w:rFonts w:hAnsiTheme="minorHAnsi" w:eastAsiaTheme="minorEastAsia" w:cstheme="minorBidi"/>
          <w:smallCaps w:val="0"/>
          <w:sz w:val="21"/>
          <w:szCs w:val="22"/>
        </w:rPr>
        <w:tab/>
      </w:r>
      <w:r>
        <w:rPr>
          <w:rFonts w:ascii="黑体" w:hAnsi="黑体" w:eastAsia="黑体"/>
          <w:color w:val="000000"/>
        </w:rPr>
        <w:t>收</w:t>
      </w:r>
      <w:r>
        <w:rPr>
          <w:rFonts w:ascii="黑体" w:hAnsi="黑体" w:eastAsia="黑体"/>
          <w:bCs/>
        </w:rPr>
        <w:t>入决算情况说明</w:t>
      </w:r>
      <w:r>
        <w:tab/>
      </w:r>
      <w:r>
        <w:rPr>
          <w:rFonts w:hint="eastAsia"/>
          <w:lang w:val="en-US" w:eastAsia="zh-CN"/>
        </w:rPr>
        <w:t>6</w:t>
      </w:r>
    </w:p>
    <w:p>
      <w:pPr>
        <w:pStyle w:val="16"/>
        <w:pageBreakBefore w:val="0"/>
        <w:tabs>
          <w:tab w:val="left" w:pos="840"/>
          <w:tab w:val="right" w:leader="dot" w:pos="8296"/>
        </w:tabs>
        <w:kinsoku/>
        <w:wordWrap/>
        <w:overflowPunct/>
        <w:topLinePunct w:val="0"/>
        <w:bidi w:val="0"/>
        <w:spacing w:line="480" w:lineRule="exact"/>
        <w:rPr>
          <w:rFonts w:hint="eastAsia" w:hAnsiTheme="minorHAnsi" w:eastAsiaTheme="minorHAnsi" w:cstheme="minorBidi"/>
          <w:smallCaps w:val="0"/>
          <w:sz w:val="21"/>
          <w:szCs w:val="22"/>
          <w:lang w:eastAsia="zh-CN"/>
        </w:rPr>
      </w:pPr>
      <w:r>
        <w:rPr>
          <w:rFonts w:ascii="黑体" w:hAnsi="黑体" w:eastAsia="黑体"/>
          <w:bCs/>
        </w:rPr>
        <w:t>三、</w:t>
      </w:r>
      <w:r>
        <w:rPr>
          <w:rFonts w:hAnsiTheme="minorHAnsi" w:eastAsiaTheme="minorEastAsia" w:cstheme="minorBidi"/>
          <w:smallCaps w:val="0"/>
          <w:sz w:val="21"/>
          <w:szCs w:val="22"/>
        </w:rPr>
        <w:tab/>
      </w:r>
      <w:r>
        <w:rPr>
          <w:rFonts w:ascii="黑体" w:hAnsi="黑体" w:eastAsia="黑体"/>
          <w:color w:val="000000"/>
        </w:rPr>
        <w:t>支</w:t>
      </w:r>
      <w:r>
        <w:rPr>
          <w:rFonts w:ascii="黑体" w:hAnsi="黑体" w:eastAsia="黑体"/>
          <w:bCs/>
        </w:rPr>
        <w:t>出决算情况说明</w:t>
      </w:r>
      <w:r>
        <w:tab/>
      </w:r>
      <w:r>
        <w:rPr>
          <w:rFonts w:hint="eastAsia"/>
          <w:lang w:val="en-US" w:eastAsia="zh-CN"/>
        </w:rPr>
        <w:t>7</w:t>
      </w:r>
    </w:p>
    <w:p>
      <w:pPr>
        <w:pStyle w:val="16"/>
        <w:pageBreakBefore w:val="0"/>
        <w:tabs>
          <w:tab w:val="right" w:leader="dot" w:pos="8296"/>
        </w:tabs>
        <w:kinsoku/>
        <w:wordWrap/>
        <w:overflowPunct/>
        <w:topLinePunct w:val="0"/>
        <w:bidi w:val="0"/>
        <w:spacing w:line="480" w:lineRule="exact"/>
        <w:rPr>
          <w:rFonts w:hint="eastAsia" w:hAnsiTheme="minorHAnsi" w:eastAsiaTheme="minorHAnsi" w:cstheme="minorBidi"/>
          <w:smallCaps w:val="0"/>
          <w:sz w:val="21"/>
          <w:szCs w:val="22"/>
          <w:lang w:eastAsia="zh-CN"/>
        </w:rPr>
      </w:pPr>
      <w:r>
        <w:rPr>
          <w:rFonts w:ascii="黑体" w:hAnsi="黑体" w:eastAsia="黑体"/>
          <w:color w:val="000000"/>
        </w:rPr>
        <w:t>四、财</w:t>
      </w:r>
      <w:r>
        <w:rPr>
          <w:rFonts w:ascii="黑体" w:hAnsi="黑体" w:eastAsia="黑体"/>
          <w:bCs/>
        </w:rPr>
        <w:t>政拨款收入支出决算总体情况说明</w:t>
      </w:r>
      <w:r>
        <w:tab/>
      </w:r>
      <w:r>
        <w:rPr>
          <w:rFonts w:hint="eastAsia"/>
          <w:lang w:val="en-US" w:eastAsia="zh-CN"/>
        </w:rPr>
        <w:t>7</w:t>
      </w:r>
    </w:p>
    <w:p>
      <w:pPr>
        <w:pStyle w:val="16"/>
        <w:pageBreakBefore w:val="0"/>
        <w:tabs>
          <w:tab w:val="right" w:leader="dot" w:pos="8296"/>
        </w:tabs>
        <w:kinsoku/>
        <w:wordWrap/>
        <w:overflowPunct/>
        <w:topLinePunct w:val="0"/>
        <w:bidi w:val="0"/>
        <w:spacing w:line="480" w:lineRule="exact"/>
        <w:rPr>
          <w:rFonts w:hint="eastAsia" w:hAnsiTheme="minorHAnsi" w:eastAsiaTheme="minorHAnsi" w:cstheme="minorBidi"/>
          <w:smallCaps w:val="0"/>
          <w:sz w:val="21"/>
          <w:szCs w:val="22"/>
          <w:lang w:eastAsia="zh-CN"/>
        </w:rPr>
      </w:pPr>
      <w:r>
        <w:rPr>
          <w:rFonts w:ascii="黑体" w:hAnsi="黑体" w:eastAsia="黑体"/>
          <w:color w:val="000000"/>
        </w:rPr>
        <w:t>五、</w:t>
      </w:r>
      <w:r>
        <w:rPr>
          <w:rFonts w:ascii="黑体" w:hAnsi="黑体" w:eastAsia="黑体"/>
          <w:b/>
          <w:color w:val="000000"/>
        </w:rPr>
        <w:t>一</w:t>
      </w:r>
      <w:r>
        <w:rPr>
          <w:rFonts w:ascii="黑体" w:hAnsi="黑体" w:eastAsia="黑体"/>
          <w:bCs/>
        </w:rPr>
        <w:t>般公共预算财政拨款支出决算情况说明</w:t>
      </w:r>
      <w:r>
        <w:tab/>
      </w:r>
      <w:r>
        <w:rPr>
          <w:rFonts w:hint="eastAsia"/>
          <w:lang w:val="en-US" w:eastAsia="zh-CN"/>
        </w:rPr>
        <w:t>8</w:t>
      </w:r>
    </w:p>
    <w:p>
      <w:pPr>
        <w:pStyle w:val="8"/>
        <w:pageBreakBefore w:val="0"/>
        <w:tabs>
          <w:tab w:val="right" w:leader="dot" w:pos="8296"/>
        </w:tabs>
        <w:kinsoku/>
        <w:wordWrap/>
        <w:overflowPunct/>
        <w:topLinePunct w:val="0"/>
        <w:bidi w:val="0"/>
        <w:spacing w:line="480" w:lineRule="exact"/>
        <w:rPr>
          <w:rFonts w:hint="eastAsia" w:hAnsiTheme="minorHAnsi" w:eastAsiaTheme="minorHAnsi" w:cstheme="minorBidi"/>
          <w:i w:val="0"/>
          <w:iCs w:val="0"/>
          <w:sz w:val="21"/>
          <w:szCs w:val="22"/>
          <w:lang w:eastAsia="zh-CN"/>
        </w:rPr>
      </w:pPr>
      <w:r>
        <w:rPr>
          <w:rFonts w:ascii="仿宋" w:hAnsi="仿宋" w:eastAsia="仿宋"/>
          <w:b/>
          <w:color w:val="000000"/>
        </w:rPr>
        <w:t>（一）一般公共预算财政拨款支出决算总体情况</w:t>
      </w:r>
      <w:r>
        <w:tab/>
      </w:r>
      <w:r>
        <w:rPr>
          <w:rFonts w:hint="eastAsia"/>
          <w:lang w:val="en-US" w:eastAsia="zh-CN"/>
        </w:rPr>
        <w:t>8</w:t>
      </w:r>
    </w:p>
    <w:p>
      <w:pPr>
        <w:pStyle w:val="8"/>
        <w:pageBreakBefore w:val="0"/>
        <w:tabs>
          <w:tab w:val="right" w:leader="dot" w:pos="8296"/>
        </w:tabs>
        <w:kinsoku/>
        <w:wordWrap/>
        <w:overflowPunct/>
        <w:topLinePunct w:val="0"/>
        <w:bidi w:val="0"/>
        <w:spacing w:line="480" w:lineRule="exact"/>
        <w:rPr>
          <w:rFonts w:hint="eastAsia" w:hAnsiTheme="minorHAnsi" w:eastAsiaTheme="minorHAnsi" w:cstheme="minorBidi"/>
          <w:i w:val="0"/>
          <w:iCs w:val="0"/>
          <w:sz w:val="21"/>
          <w:szCs w:val="22"/>
          <w:lang w:eastAsia="zh-CN"/>
        </w:rPr>
      </w:pPr>
      <w:r>
        <w:rPr>
          <w:rFonts w:ascii="仿宋" w:hAnsi="仿宋" w:eastAsia="仿宋"/>
          <w:b/>
          <w:color w:val="000000"/>
        </w:rPr>
        <w:t>（二）一般公共预算财政拨款支出决算结构情况</w:t>
      </w:r>
      <w:r>
        <w:tab/>
      </w:r>
      <w:r>
        <w:rPr>
          <w:rFonts w:hint="eastAsia"/>
          <w:lang w:val="en-US" w:eastAsia="zh-CN"/>
        </w:rPr>
        <w:t>8</w:t>
      </w:r>
    </w:p>
    <w:p>
      <w:pPr>
        <w:pStyle w:val="8"/>
        <w:pageBreakBefore w:val="0"/>
        <w:tabs>
          <w:tab w:val="right" w:leader="dot" w:pos="8296"/>
        </w:tabs>
        <w:kinsoku/>
        <w:wordWrap/>
        <w:overflowPunct/>
        <w:topLinePunct w:val="0"/>
        <w:bidi w:val="0"/>
        <w:spacing w:line="480" w:lineRule="exact"/>
        <w:rPr>
          <w:rFonts w:hint="eastAsia" w:hAnsiTheme="minorHAnsi" w:eastAsiaTheme="minorHAnsi" w:cstheme="minorBidi"/>
          <w:i w:val="0"/>
          <w:iCs w:val="0"/>
          <w:sz w:val="21"/>
          <w:szCs w:val="22"/>
          <w:lang w:eastAsia="zh-CN"/>
        </w:rPr>
      </w:pPr>
      <w:r>
        <w:rPr>
          <w:rFonts w:ascii="仿宋" w:hAnsi="仿宋" w:eastAsia="仿宋"/>
          <w:b/>
          <w:color w:val="000000"/>
        </w:rPr>
        <w:t>（三）一般公共预算财政拨款支出决算具体情况</w:t>
      </w:r>
      <w:r>
        <w:tab/>
      </w:r>
      <w:r>
        <w:rPr>
          <w:rFonts w:hint="eastAsia"/>
          <w:lang w:val="en-US" w:eastAsia="zh-CN"/>
        </w:rPr>
        <w:t>9</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黑体" w:eastAsia="黑体"/>
          <w:color w:val="000000"/>
        </w:rPr>
        <w:t>六</w:t>
      </w:r>
      <w:r>
        <w:rPr>
          <w:rFonts w:ascii="黑体" w:eastAsia="黑体"/>
          <w:b/>
          <w:color w:val="000000"/>
        </w:rPr>
        <w:t>、</w:t>
      </w:r>
      <w:r>
        <w:rPr>
          <w:rFonts w:ascii="黑体" w:hAnsi="黑体" w:eastAsia="黑体"/>
          <w:b/>
          <w:color w:val="000000"/>
        </w:rPr>
        <w:t>一</w:t>
      </w:r>
      <w:r>
        <w:rPr>
          <w:rFonts w:ascii="黑体" w:hAnsi="黑体" w:eastAsia="黑体"/>
          <w:bCs/>
        </w:rPr>
        <w:t>般公共预算财政拨款基本支出决算情况说明</w:t>
      </w:r>
      <w:r>
        <w:tab/>
      </w:r>
      <w:r>
        <w:rPr>
          <w:rFonts w:hint="eastAsia"/>
          <w:lang w:val="en-US" w:eastAsia="zh-CN"/>
        </w:rPr>
        <w:t>10</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黑体" w:eastAsia="黑体"/>
          <w:color w:val="000000"/>
        </w:rPr>
        <w:t>七、</w:t>
      </w:r>
      <w:r>
        <w:rPr>
          <w:rFonts w:ascii="黑体" w:hAnsi="黑体" w:eastAsia="黑体"/>
          <w:b/>
          <w:bCs/>
        </w:rPr>
        <w:t>“</w:t>
      </w:r>
      <w:r>
        <w:rPr>
          <w:rFonts w:ascii="黑体" w:hAnsi="黑体" w:eastAsia="黑体"/>
          <w:bCs/>
        </w:rPr>
        <w:t>三公”经费财政拨款支出决算情况说明</w:t>
      </w:r>
      <w:r>
        <w:tab/>
      </w:r>
      <w:r>
        <w:rPr>
          <w:rFonts w:hint="eastAsia"/>
          <w:lang w:val="en-US" w:eastAsia="zh-CN"/>
        </w:rPr>
        <w:t>10</w:t>
      </w:r>
    </w:p>
    <w:p>
      <w:pPr>
        <w:pStyle w:val="8"/>
        <w:pageBreakBefore w:val="0"/>
        <w:tabs>
          <w:tab w:val="right" w:leader="dot" w:pos="8296"/>
        </w:tabs>
        <w:kinsoku/>
        <w:wordWrap/>
        <w:overflowPunct/>
        <w:topLinePunct w:val="0"/>
        <w:bidi w:val="0"/>
        <w:spacing w:line="480" w:lineRule="exact"/>
        <w:rPr>
          <w:rFonts w:hint="default" w:hAnsiTheme="minorHAnsi" w:eastAsiaTheme="minorHAnsi" w:cstheme="minorBidi"/>
          <w:i w:val="0"/>
          <w:iCs w:val="0"/>
          <w:sz w:val="21"/>
          <w:szCs w:val="22"/>
          <w:lang w:val="en-US" w:eastAsia="zh-CN"/>
        </w:rPr>
      </w:pPr>
      <w:r>
        <w:rPr>
          <w:rFonts w:ascii="仿宋" w:hAnsi="仿宋" w:eastAsia="仿宋"/>
          <w:b/>
          <w:color w:val="000000"/>
        </w:rPr>
        <w:t>（一）“三公”经费财政拨款支出决算总体情况说明</w:t>
      </w:r>
      <w:r>
        <w:tab/>
      </w:r>
      <w:r>
        <w:rPr>
          <w:rFonts w:hint="eastAsia"/>
          <w:lang w:val="en-US" w:eastAsia="zh-CN"/>
        </w:rPr>
        <w:t>10</w:t>
      </w:r>
    </w:p>
    <w:p>
      <w:pPr>
        <w:pStyle w:val="8"/>
        <w:pageBreakBefore w:val="0"/>
        <w:tabs>
          <w:tab w:val="right" w:leader="dot" w:pos="8296"/>
        </w:tabs>
        <w:kinsoku/>
        <w:wordWrap/>
        <w:overflowPunct/>
        <w:topLinePunct w:val="0"/>
        <w:bidi w:val="0"/>
        <w:spacing w:line="480" w:lineRule="exact"/>
        <w:rPr>
          <w:rFonts w:hint="default" w:hAnsiTheme="minorHAnsi" w:eastAsiaTheme="minorHAnsi" w:cstheme="minorBidi"/>
          <w:i w:val="0"/>
          <w:iCs w:val="0"/>
          <w:sz w:val="21"/>
          <w:szCs w:val="22"/>
          <w:lang w:val="en-US" w:eastAsia="zh-CN"/>
        </w:rPr>
      </w:pPr>
      <w:r>
        <w:rPr>
          <w:rFonts w:ascii="仿宋" w:hAnsi="仿宋" w:eastAsia="仿宋"/>
          <w:b/>
          <w:color w:val="000000"/>
        </w:rPr>
        <w:t>（二）“三公”经费财政拨款支出决算具体情况说明</w:t>
      </w:r>
      <w:r>
        <w:tab/>
      </w:r>
      <w:r>
        <w:rPr>
          <w:rFonts w:hint="eastAsia"/>
          <w:lang w:val="en-US" w:eastAsia="zh-CN"/>
        </w:rPr>
        <w:t>11</w:t>
      </w:r>
    </w:p>
    <w:p>
      <w:pPr>
        <w:pStyle w:val="16"/>
        <w:pageBreakBefore w:val="0"/>
        <w:tabs>
          <w:tab w:val="right" w:leader="dot" w:pos="8296"/>
        </w:tabs>
        <w:kinsoku/>
        <w:wordWrap/>
        <w:overflowPunct/>
        <w:topLinePunct w:val="0"/>
        <w:bidi w:val="0"/>
        <w:spacing w:line="480" w:lineRule="exact"/>
        <w:rPr>
          <w:rFonts w:hAnsiTheme="minorHAnsi" w:eastAsiaTheme="minorEastAsia" w:cstheme="minorBidi"/>
          <w:smallCaps w:val="0"/>
          <w:sz w:val="21"/>
          <w:szCs w:val="22"/>
        </w:rPr>
      </w:pPr>
      <w:r>
        <w:rPr>
          <w:rFonts w:ascii="黑体" w:eastAsia="黑体"/>
          <w:color w:val="000000"/>
        </w:rPr>
        <w:t>八、</w:t>
      </w:r>
      <w:r>
        <w:rPr>
          <w:rFonts w:ascii="黑体" w:hAnsi="黑体" w:eastAsia="黑体"/>
          <w:bCs/>
        </w:rPr>
        <w:t>政府性基金预算支出决算情况说明</w:t>
      </w:r>
      <w:r>
        <w:tab/>
      </w:r>
      <w:r>
        <w:fldChar w:fldCharType="begin"/>
      </w:r>
      <w:r>
        <w:instrText xml:space="preserve"> PAGEREF _Toc79163872 \h </w:instrText>
      </w:r>
      <w:r>
        <w:fldChar w:fldCharType="separate"/>
      </w:r>
      <w:r>
        <w:t>1</w:t>
      </w:r>
      <w:r>
        <w:rPr>
          <w:rFonts w:hint="eastAsia"/>
          <w:lang w:val="en-US" w:eastAsia="zh-CN"/>
        </w:rPr>
        <w:t>2</w:t>
      </w:r>
      <w:r>
        <w:fldChar w:fldCharType="end"/>
      </w:r>
    </w:p>
    <w:p>
      <w:pPr>
        <w:pStyle w:val="16"/>
        <w:pageBreakBefore w:val="0"/>
        <w:tabs>
          <w:tab w:val="right" w:leader="dot" w:pos="8296"/>
        </w:tabs>
        <w:kinsoku/>
        <w:wordWrap/>
        <w:overflowPunct/>
        <w:topLinePunct w:val="0"/>
        <w:bidi w:val="0"/>
        <w:spacing w:line="480" w:lineRule="exact"/>
        <w:rPr>
          <w:rFonts w:hAnsiTheme="minorHAnsi" w:eastAsiaTheme="minorEastAsia" w:cstheme="minorBidi"/>
          <w:smallCaps w:val="0"/>
          <w:sz w:val="21"/>
          <w:szCs w:val="22"/>
        </w:rPr>
      </w:pPr>
      <w:r>
        <w:rPr>
          <w:rFonts w:ascii="黑体" w:hAnsi="黑体" w:eastAsia="黑体"/>
          <w:bCs/>
        </w:rPr>
        <w:t>九、 国有资本经营预算支出决算情况说明</w:t>
      </w:r>
      <w:r>
        <w:tab/>
      </w:r>
      <w:r>
        <w:fldChar w:fldCharType="begin"/>
      </w:r>
      <w:r>
        <w:instrText xml:space="preserve"> PAGEREF _Toc79163873 \h </w:instrText>
      </w:r>
      <w:r>
        <w:fldChar w:fldCharType="separate"/>
      </w:r>
      <w:r>
        <w:t>1</w:t>
      </w:r>
      <w:r>
        <w:rPr>
          <w:rFonts w:hint="eastAsia"/>
          <w:lang w:val="en-US" w:eastAsia="zh-CN"/>
        </w:rPr>
        <w:t>2</w:t>
      </w:r>
      <w:r>
        <w:fldChar w:fldCharType="end"/>
      </w:r>
    </w:p>
    <w:p>
      <w:pPr>
        <w:pStyle w:val="16"/>
        <w:pageBreakBefore w:val="0"/>
        <w:tabs>
          <w:tab w:val="right" w:leader="dot" w:pos="8296"/>
        </w:tabs>
        <w:kinsoku/>
        <w:wordWrap/>
        <w:overflowPunct/>
        <w:topLinePunct w:val="0"/>
        <w:bidi w:val="0"/>
        <w:spacing w:line="480" w:lineRule="exact"/>
        <w:rPr>
          <w:rFonts w:hAnsiTheme="minorHAnsi" w:eastAsiaTheme="minorEastAsia" w:cstheme="minorBidi"/>
          <w:smallCaps w:val="0"/>
          <w:sz w:val="21"/>
          <w:szCs w:val="22"/>
        </w:rPr>
      </w:pPr>
      <w:r>
        <w:rPr>
          <w:rFonts w:ascii="黑体" w:hAnsi="黑体" w:eastAsia="黑体"/>
          <w:color w:val="000000"/>
        </w:rPr>
        <w:t>十</w:t>
      </w:r>
      <w:r>
        <w:rPr>
          <w:rFonts w:ascii="黑体" w:hAnsi="黑体" w:eastAsia="黑体"/>
          <w:b/>
          <w:bCs/>
        </w:rPr>
        <w:t>、</w:t>
      </w:r>
      <w:r>
        <w:rPr>
          <w:rFonts w:ascii="黑体" w:hAnsi="黑体" w:eastAsia="黑体"/>
          <w:bCs/>
        </w:rPr>
        <w:t>其他重要事项的情况说明</w:t>
      </w:r>
      <w:r>
        <w:tab/>
      </w:r>
      <w:r>
        <w:fldChar w:fldCharType="begin"/>
      </w:r>
      <w:r>
        <w:instrText xml:space="preserve"> PAGEREF _Toc79163874 \h </w:instrText>
      </w:r>
      <w:r>
        <w:fldChar w:fldCharType="separate"/>
      </w:r>
      <w:r>
        <w:t>1</w:t>
      </w:r>
      <w:r>
        <w:rPr>
          <w:rFonts w:hint="eastAsia"/>
          <w:lang w:val="en-US" w:eastAsia="zh-CN"/>
        </w:rPr>
        <w:t>2</w:t>
      </w:r>
      <w:r>
        <w:fldChar w:fldCharType="end"/>
      </w:r>
    </w:p>
    <w:p>
      <w:pPr>
        <w:pStyle w:val="8"/>
        <w:pageBreakBefore w:val="0"/>
        <w:tabs>
          <w:tab w:val="right" w:leader="dot" w:pos="8296"/>
        </w:tabs>
        <w:kinsoku/>
        <w:wordWrap/>
        <w:overflowPunct/>
        <w:topLinePunct w:val="0"/>
        <w:bidi w:val="0"/>
        <w:spacing w:line="480" w:lineRule="exact"/>
        <w:rPr>
          <w:rFonts w:hAnsiTheme="minorHAnsi" w:eastAsiaTheme="minorEastAsia" w:cstheme="minorBidi"/>
          <w:i w:val="0"/>
          <w:iCs w:val="0"/>
          <w:sz w:val="21"/>
          <w:szCs w:val="22"/>
        </w:rPr>
      </w:pPr>
      <w:r>
        <w:rPr>
          <w:rFonts w:ascii="仿宋" w:hAnsi="仿宋" w:eastAsia="仿宋"/>
          <w:b/>
          <w:color w:val="000000"/>
        </w:rPr>
        <w:t>（一）机关运行经费支出情况</w:t>
      </w:r>
      <w:r>
        <w:tab/>
      </w:r>
      <w:r>
        <w:fldChar w:fldCharType="begin"/>
      </w:r>
      <w:r>
        <w:instrText xml:space="preserve"> PAGEREF _Toc79163875 \h </w:instrText>
      </w:r>
      <w:r>
        <w:fldChar w:fldCharType="separate"/>
      </w:r>
      <w:r>
        <w:t>1</w:t>
      </w:r>
      <w:r>
        <w:rPr>
          <w:rFonts w:hint="eastAsia"/>
          <w:lang w:val="en-US" w:eastAsia="zh-CN"/>
        </w:rPr>
        <w:t>2</w:t>
      </w:r>
      <w:r>
        <w:fldChar w:fldCharType="end"/>
      </w:r>
    </w:p>
    <w:p>
      <w:pPr>
        <w:pStyle w:val="8"/>
        <w:pageBreakBefore w:val="0"/>
        <w:tabs>
          <w:tab w:val="right" w:leader="dot" w:pos="8296"/>
        </w:tabs>
        <w:kinsoku/>
        <w:wordWrap/>
        <w:overflowPunct/>
        <w:topLinePunct w:val="0"/>
        <w:bidi w:val="0"/>
        <w:spacing w:line="480" w:lineRule="exact"/>
        <w:rPr>
          <w:rFonts w:hAnsiTheme="minorHAnsi" w:eastAsiaTheme="minorEastAsia" w:cstheme="minorBidi"/>
          <w:i w:val="0"/>
          <w:iCs w:val="0"/>
          <w:sz w:val="21"/>
          <w:szCs w:val="22"/>
        </w:rPr>
      </w:pPr>
      <w:r>
        <w:rPr>
          <w:rFonts w:ascii="仿宋" w:hAnsi="仿宋" w:eastAsia="仿宋"/>
          <w:b/>
          <w:color w:val="000000"/>
        </w:rPr>
        <w:t>（二）政府采购支出情况</w:t>
      </w:r>
      <w:r>
        <w:tab/>
      </w:r>
      <w:r>
        <w:fldChar w:fldCharType="begin"/>
      </w:r>
      <w:r>
        <w:instrText xml:space="preserve"> PAGEREF _Toc79163876 \h </w:instrText>
      </w:r>
      <w:r>
        <w:fldChar w:fldCharType="separate"/>
      </w:r>
      <w:r>
        <w:t>1</w:t>
      </w:r>
      <w:r>
        <w:rPr>
          <w:rFonts w:hint="eastAsia"/>
          <w:lang w:val="en-US" w:eastAsia="zh-CN"/>
        </w:rPr>
        <w:t>2</w:t>
      </w:r>
      <w:r>
        <w:fldChar w:fldCharType="end"/>
      </w:r>
    </w:p>
    <w:p>
      <w:pPr>
        <w:pStyle w:val="8"/>
        <w:pageBreakBefore w:val="0"/>
        <w:tabs>
          <w:tab w:val="right" w:leader="dot" w:pos="8296"/>
        </w:tabs>
        <w:kinsoku/>
        <w:wordWrap/>
        <w:overflowPunct/>
        <w:topLinePunct w:val="0"/>
        <w:bidi w:val="0"/>
        <w:spacing w:line="480" w:lineRule="exact"/>
        <w:rPr>
          <w:rFonts w:hAnsiTheme="minorHAnsi" w:eastAsiaTheme="minorEastAsia" w:cstheme="minorBidi"/>
          <w:i w:val="0"/>
          <w:iCs w:val="0"/>
          <w:sz w:val="21"/>
          <w:szCs w:val="22"/>
        </w:rPr>
      </w:pPr>
      <w:r>
        <w:rPr>
          <w:rFonts w:ascii="仿宋" w:hAnsi="仿宋" w:eastAsia="仿宋"/>
          <w:b/>
          <w:color w:val="000000"/>
        </w:rPr>
        <w:t>（三）国有资产占有使用情况</w:t>
      </w:r>
      <w:r>
        <w:tab/>
      </w:r>
      <w:r>
        <w:fldChar w:fldCharType="begin"/>
      </w:r>
      <w:r>
        <w:instrText xml:space="preserve"> PAGEREF _Toc79163877 \h </w:instrText>
      </w:r>
      <w:r>
        <w:fldChar w:fldCharType="separate"/>
      </w:r>
      <w:r>
        <w:t>1</w:t>
      </w:r>
      <w:r>
        <w:rPr>
          <w:rFonts w:hint="eastAsia"/>
          <w:lang w:val="en-US" w:eastAsia="zh-CN"/>
        </w:rPr>
        <w:t>3</w:t>
      </w:r>
      <w:r>
        <w:fldChar w:fldCharType="end"/>
      </w:r>
    </w:p>
    <w:p>
      <w:pPr>
        <w:pStyle w:val="8"/>
        <w:pageBreakBefore w:val="0"/>
        <w:tabs>
          <w:tab w:val="right" w:leader="dot" w:pos="8296"/>
        </w:tabs>
        <w:kinsoku/>
        <w:wordWrap/>
        <w:overflowPunct/>
        <w:topLinePunct w:val="0"/>
        <w:bidi w:val="0"/>
        <w:spacing w:line="480" w:lineRule="exact"/>
        <w:rPr>
          <w:rFonts w:hint="eastAsia" w:hAnsiTheme="minorHAnsi" w:eastAsiaTheme="minorHAnsi" w:cstheme="minorBidi"/>
          <w:i w:val="0"/>
          <w:iCs w:val="0"/>
          <w:sz w:val="21"/>
          <w:szCs w:val="22"/>
          <w:lang w:eastAsia="zh-CN"/>
        </w:rPr>
      </w:pPr>
      <w:r>
        <w:rPr>
          <w:rFonts w:ascii="仿宋" w:hAnsi="仿宋" w:eastAsia="仿宋"/>
          <w:b/>
          <w:color w:val="000000"/>
        </w:rPr>
        <w:t>（四）预算绩效管理情况。</w:t>
      </w:r>
      <w:r>
        <w:tab/>
      </w:r>
      <w:r>
        <w:rPr>
          <w:rFonts w:hint="eastAsia"/>
          <w:lang w:val="en-US" w:eastAsia="zh-CN"/>
        </w:rPr>
        <w:t>13</w:t>
      </w:r>
    </w:p>
    <w:p>
      <w:pPr>
        <w:pStyle w:val="13"/>
        <w:pageBreakBefore w:val="0"/>
        <w:tabs>
          <w:tab w:val="right" w:leader="dot" w:pos="8296"/>
        </w:tabs>
        <w:kinsoku/>
        <w:wordWrap/>
        <w:overflowPunct/>
        <w:topLinePunct w:val="0"/>
        <w:bidi w:val="0"/>
        <w:spacing w:before="0" w:after="0" w:line="480" w:lineRule="exact"/>
        <w:rPr>
          <w:rFonts w:hint="default" w:hAnsiTheme="minorHAnsi" w:eastAsiaTheme="minorHAnsi" w:cstheme="minorBidi"/>
          <w:b w:val="0"/>
          <w:bCs w:val="0"/>
          <w:caps w:val="0"/>
          <w:sz w:val="21"/>
          <w:szCs w:val="22"/>
          <w:lang w:val="en-US" w:eastAsia="zh-CN"/>
        </w:rPr>
      </w:pPr>
      <w:r>
        <w:rPr>
          <w:rFonts w:ascii="黑体" w:hAnsi="黑体" w:eastAsia="黑体"/>
          <w:kern w:val="44"/>
        </w:rPr>
        <w:t>第三部分</w:t>
      </w:r>
      <w:r>
        <w:rPr>
          <w:rFonts w:ascii="黑体" w:hAnsi="黑体" w:eastAsia="黑体"/>
          <w:color w:val="000000"/>
        </w:rPr>
        <w:t xml:space="preserve"> 名</w:t>
      </w:r>
      <w:r>
        <w:rPr>
          <w:rFonts w:ascii="黑体" w:hAnsi="黑体" w:eastAsia="黑体"/>
          <w:kern w:val="44"/>
        </w:rPr>
        <w:t>词解释</w:t>
      </w:r>
      <w:r>
        <w:tab/>
      </w:r>
      <w:r>
        <w:rPr>
          <w:rFonts w:hint="eastAsia"/>
          <w:lang w:val="en-US" w:eastAsia="zh-CN"/>
        </w:rPr>
        <w:t>26</w:t>
      </w:r>
    </w:p>
    <w:p>
      <w:pPr>
        <w:pStyle w:val="13"/>
        <w:pageBreakBefore w:val="0"/>
        <w:tabs>
          <w:tab w:val="right" w:leader="dot" w:pos="8296"/>
        </w:tabs>
        <w:kinsoku/>
        <w:wordWrap/>
        <w:overflowPunct/>
        <w:topLinePunct w:val="0"/>
        <w:bidi w:val="0"/>
        <w:spacing w:before="0" w:after="0" w:line="480" w:lineRule="exact"/>
        <w:rPr>
          <w:rFonts w:hint="default" w:hAnsiTheme="minorHAnsi" w:eastAsiaTheme="minorHAnsi" w:cstheme="minorBidi"/>
          <w:b w:val="0"/>
          <w:bCs w:val="0"/>
          <w:caps w:val="0"/>
          <w:sz w:val="21"/>
          <w:szCs w:val="22"/>
          <w:lang w:val="en-US" w:eastAsia="zh-CN"/>
        </w:rPr>
      </w:pPr>
      <w:r>
        <w:rPr>
          <w:rFonts w:ascii="黑体" w:hAnsi="黑体" w:eastAsia="黑体"/>
          <w:color w:val="000000"/>
        </w:rPr>
        <w:t>第</w:t>
      </w:r>
      <w:r>
        <w:rPr>
          <w:rFonts w:ascii="黑体" w:hAnsi="黑体" w:eastAsia="黑体"/>
          <w:kern w:val="44"/>
        </w:rPr>
        <w:t>四部分 附件</w:t>
      </w:r>
      <w:r>
        <w:tab/>
      </w:r>
      <w:r>
        <w:rPr>
          <w:rFonts w:hint="eastAsia"/>
          <w:lang w:val="en-US" w:eastAsia="zh-CN"/>
        </w:rPr>
        <w:t>27</w:t>
      </w:r>
    </w:p>
    <w:p>
      <w:pPr>
        <w:pStyle w:val="13"/>
        <w:pageBreakBefore w:val="0"/>
        <w:tabs>
          <w:tab w:val="right" w:leader="dot" w:pos="8296"/>
        </w:tabs>
        <w:kinsoku/>
        <w:wordWrap/>
        <w:overflowPunct/>
        <w:topLinePunct w:val="0"/>
        <w:bidi w:val="0"/>
        <w:spacing w:before="0" w:after="0" w:line="480" w:lineRule="exact"/>
        <w:rPr>
          <w:rFonts w:hint="default" w:hAnsiTheme="minorHAnsi" w:eastAsiaTheme="minorHAnsi" w:cstheme="minorBidi"/>
          <w:b w:val="0"/>
          <w:bCs w:val="0"/>
          <w:caps w:val="0"/>
          <w:sz w:val="21"/>
          <w:szCs w:val="22"/>
          <w:lang w:val="en-US" w:eastAsia="zh-CN"/>
        </w:rPr>
      </w:pPr>
      <w:r>
        <w:rPr>
          <w:rFonts w:ascii="黑体" w:hAnsi="黑体" w:eastAsia="黑体" w:cs="黑体"/>
        </w:rPr>
        <w:t>附件1</w:t>
      </w:r>
      <w:r>
        <w:tab/>
      </w:r>
      <w:r>
        <w:rPr>
          <w:rFonts w:hint="eastAsia"/>
          <w:lang w:val="en-US" w:eastAsia="zh-CN"/>
        </w:rPr>
        <w:t>27</w:t>
      </w:r>
    </w:p>
    <w:p>
      <w:pPr>
        <w:pStyle w:val="13"/>
        <w:pageBreakBefore w:val="0"/>
        <w:tabs>
          <w:tab w:val="right" w:leader="dot" w:pos="8296"/>
        </w:tabs>
        <w:kinsoku/>
        <w:wordWrap/>
        <w:overflowPunct/>
        <w:topLinePunct w:val="0"/>
        <w:bidi w:val="0"/>
        <w:spacing w:before="0" w:after="0" w:line="480" w:lineRule="exact"/>
        <w:rPr>
          <w:rFonts w:hint="default" w:hAnsiTheme="minorHAnsi" w:eastAsiaTheme="minorHAnsi" w:cstheme="minorBidi"/>
          <w:b w:val="0"/>
          <w:bCs w:val="0"/>
          <w:caps w:val="0"/>
          <w:sz w:val="21"/>
          <w:szCs w:val="22"/>
          <w:lang w:val="en-US" w:eastAsia="zh-CN"/>
        </w:rPr>
      </w:pPr>
      <w:r>
        <w:rPr>
          <w:rFonts w:hint="eastAsia" w:ascii="方正小标宋简体" w:hAnsi="黑体" w:eastAsia="方正小标宋简体" w:cs="黑体"/>
          <w:lang w:val="en-US" w:eastAsia="zh-CN"/>
        </w:rPr>
        <w:t>达古冰川管理局</w:t>
      </w:r>
      <w:r>
        <w:rPr>
          <w:rFonts w:ascii="方正小标宋简体" w:hAnsi="黑体" w:eastAsia="方正小标宋简体" w:cs="黑体"/>
        </w:rPr>
        <w:t>2020年部门整体支出绩效评价报告</w:t>
      </w:r>
      <w:r>
        <w:tab/>
      </w:r>
      <w:r>
        <w:rPr>
          <w:rFonts w:hint="eastAsia"/>
          <w:lang w:val="en-US" w:eastAsia="zh-CN"/>
        </w:rPr>
        <w:t>27</w:t>
      </w:r>
    </w:p>
    <w:p>
      <w:pPr>
        <w:pStyle w:val="13"/>
        <w:pageBreakBefore w:val="0"/>
        <w:tabs>
          <w:tab w:val="right" w:leader="dot" w:pos="8296"/>
        </w:tabs>
        <w:kinsoku/>
        <w:wordWrap/>
        <w:overflowPunct/>
        <w:topLinePunct w:val="0"/>
        <w:bidi w:val="0"/>
        <w:spacing w:before="0" w:after="0" w:line="480" w:lineRule="exact"/>
        <w:rPr>
          <w:rFonts w:hint="default" w:hAnsiTheme="minorHAnsi" w:eastAsiaTheme="minorHAnsi" w:cstheme="minorBidi"/>
          <w:b w:val="0"/>
          <w:bCs w:val="0"/>
          <w:caps w:val="0"/>
          <w:sz w:val="21"/>
          <w:szCs w:val="22"/>
          <w:lang w:val="en-US" w:eastAsia="zh-CN"/>
        </w:rPr>
      </w:pPr>
      <w:r>
        <w:rPr>
          <w:rFonts w:ascii="黑体" w:hAnsi="黑体" w:eastAsia="黑体" w:cs="黑体"/>
        </w:rPr>
        <w:t>附件2</w:t>
      </w:r>
      <w:r>
        <w:tab/>
      </w:r>
      <w:r>
        <w:rPr>
          <w:rFonts w:hint="eastAsia"/>
          <w:lang w:val="en-US" w:eastAsia="zh-CN"/>
        </w:rPr>
        <w:t>35</w:t>
      </w:r>
    </w:p>
    <w:p>
      <w:pPr>
        <w:pStyle w:val="13"/>
        <w:pageBreakBefore w:val="0"/>
        <w:tabs>
          <w:tab w:val="right" w:leader="dot" w:pos="8296"/>
        </w:tabs>
        <w:kinsoku/>
        <w:wordWrap/>
        <w:overflowPunct/>
        <w:topLinePunct w:val="0"/>
        <w:bidi w:val="0"/>
        <w:spacing w:before="0" w:after="0" w:line="480" w:lineRule="exact"/>
        <w:rPr>
          <w:rFonts w:hint="default" w:eastAsiaTheme="minorHAnsi"/>
          <w:lang w:val="en-US" w:eastAsia="zh-CN"/>
        </w:rPr>
      </w:pPr>
      <w:r>
        <w:rPr>
          <w:rFonts w:hint="eastAsia" w:ascii="方正小标宋简体" w:hAnsi="黑体" w:eastAsia="方正小标宋简体" w:cs="黑体"/>
          <w:lang w:val="en-US" w:eastAsia="zh-CN"/>
        </w:rPr>
        <w:t>景区标识标牌更换及提升改造项目支出</w:t>
      </w:r>
      <w:r>
        <w:rPr>
          <w:rFonts w:ascii="方正小标宋简体" w:hAnsi="黑体" w:eastAsia="方正小标宋简体" w:cs="黑体"/>
        </w:rPr>
        <w:t>绩效评价报告</w:t>
      </w:r>
      <w:r>
        <w:tab/>
      </w:r>
      <w:r>
        <w:rPr>
          <w:rFonts w:hint="eastAsia"/>
          <w:lang w:val="en-US" w:eastAsia="zh-CN"/>
        </w:rPr>
        <w:t>35</w:t>
      </w:r>
    </w:p>
    <w:p>
      <w:pPr>
        <w:pStyle w:val="13"/>
        <w:pageBreakBefore w:val="0"/>
        <w:tabs>
          <w:tab w:val="right" w:leader="dot" w:pos="8296"/>
        </w:tabs>
        <w:kinsoku/>
        <w:wordWrap/>
        <w:overflowPunct/>
        <w:topLinePunct w:val="0"/>
        <w:bidi w:val="0"/>
        <w:spacing w:before="0" w:after="0" w:line="480" w:lineRule="exact"/>
        <w:rPr>
          <w:rFonts w:hint="default" w:hAnsiTheme="minorHAnsi" w:eastAsiaTheme="minorHAnsi" w:cstheme="minorBidi"/>
          <w:b w:val="0"/>
          <w:bCs w:val="0"/>
          <w:caps w:val="0"/>
          <w:sz w:val="21"/>
          <w:szCs w:val="22"/>
          <w:lang w:val="en-US" w:eastAsia="zh-CN"/>
        </w:rPr>
      </w:pPr>
      <w:r>
        <w:rPr>
          <w:rFonts w:hint="eastAsia" w:ascii="方正小标宋简体" w:hAnsi="黑体" w:eastAsia="方正小标宋简体" w:cs="黑体"/>
          <w:lang w:val="en-US" w:eastAsia="zh-CN"/>
        </w:rPr>
        <w:t>景区9.13大型山洪泥石流应急抢险修复工程支出</w:t>
      </w:r>
      <w:r>
        <w:rPr>
          <w:rFonts w:ascii="方正小标宋简体" w:hAnsi="黑体" w:eastAsia="方正小标宋简体" w:cs="黑体"/>
        </w:rPr>
        <w:t>绩效评价报告</w:t>
      </w:r>
      <w:r>
        <w:tab/>
      </w:r>
      <w:r>
        <w:rPr>
          <w:rFonts w:hint="eastAsia"/>
          <w:lang w:val="en-US" w:eastAsia="zh-CN"/>
        </w:rPr>
        <w:t>37</w:t>
      </w:r>
    </w:p>
    <w:p>
      <w:pPr>
        <w:pStyle w:val="13"/>
        <w:pageBreakBefore w:val="0"/>
        <w:tabs>
          <w:tab w:val="right" w:leader="dot" w:pos="8296"/>
        </w:tabs>
        <w:kinsoku/>
        <w:wordWrap/>
        <w:overflowPunct/>
        <w:topLinePunct w:val="0"/>
        <w:bidi w:val="0"/>
        <w:spacing w:before="0" w:after="0" w:line="480" w:lineRule="exact"/>
        <w:rPr>
          <w:rFonts w:hint="default" w:hAnsiTheme="minorHAnsi" w:eastAsiaTheme="minorHAnsi" w:cstheme="minorBidi"/>
          <w:b w:val="0"/>
          <w:bCs w:val="0"/>
          <w:caps w:val="0"/>
          <w:sz w:val="21"/>
          <w:szCs w:val="22"/>
          <w:lang w:val="en-US" w:eastAsia="zh-CN"/>
        </w:rPr>
      </w:pPr>
      <w:r>
        <w:rPr>
          <w:rFonts w:hint="eastAsia" w:ascii="方正小标宋简体" w:hAnsi="黑体" w:eastAsia="方正小标宋简体" w:cs="黑体"/>
          <w:lang w:val="en-US" w:eastAsia="zh-CN"/>
        </w:rPr>
        <w:t>景区道路边坡地质灾害治理项目支出</w:t>
      </w:r>
      <w:r>
        <w:rPr>
          <w:rFonts w:ascii="方正小标宋简体" w:hAnsi="黑体" w:eastAsia="方正小标宋简体" w:cs="黑体"/>
        </w:rPr>
        <w:t>绩效评价报告</w:t>
      </w:r>
      <w:r>
        <w:tab/>
      </w:r>
      <w:r>
        <w:rPr>
          <w:rFonts w:hint="eastAsia"/>
          <w:lang w:val="en-US" w:eastAsia="zh-CN"/>
        </w:rPr>
        <w:t>40</w:t>
      </w:r>
    </w:p>
    <w:p>
      <w:pPr>
        <w:pStyle w:val="13"/>
        <w:pageBreakBefore w:val="0"/>
        <w:tabs>
          <w:tab w:val="right" w:leader="dot" w:pos="8296"/>
        </w:tabs>
        <w:kinsoku/>
        <w:wordWrap/>
        <w:overflowPunct/>
        <w:topLinePunct w:val="0"/>
        <w:bidi w:val="0"/>
        <w:spacing w:before="0" w:after="0" w:line="480" w:lineRule="exact"/>
        <w:rPr>
          <w:rFonts w:hint="default" w:hAnsiTheme="minorHAnsi" w:eastAsiaTheme="minorHAnsi" w:cstheme="minorBidi"/>
          <w:b w:val="0"/>
          <w:bCs w:val="0"/>
          <w:caps w:val="0"/>
          <w:sz w:val="21"/>
          <w:szCs w:val="22"/>
          <w:lang w:val="en-US" w:eastAsia="zh-CN"/>
        </w:rPr>
      </w:pPr>
      <w:r>
        <w:rPr>
          <w:rFonts w:hint="eastAsia" w:ascii="方正小标宋简体" w:hAnsi="黑体" w:eastAsia="方正小标宋简体" w:cs="黑体"/>
          <w:lang w:val="en-US" w:eastAsia="zh-CN"/>
        </w:rPr>
        <w:t>景区罗毕牧场河道防洪治涝生态修复工程项目支出</w:t>
      </w:r>
      <w:r>
        <w:rPr>
          <w:rFonts w:ascii="方正小标宋简体" w:hAnsi="黑体" w:eastAsia="方正小标宋简体" w:cs="黑体"/>
        </w:rPr>
        <w:t>绩效评价报告</w:t>
      </w:r>
      <w:r>
        <w:tab/>
      </w:r>
      <w:r>
        <w:rPr>
          <w:rFonts w:hint="eastAsia"/>
          <w:lang w:val="en-US" w:eastAsia="zh-CN"/>
        </w:rPr>
        <w:t>43</w:t>
      </w:r>
    </w:p>
    <w:p>
      <w:pPr>
        <w:pStyle w:val="13"/>
        <w:pageBreakBefore w:val="0"/>
        <w:tabs>
          <w:tab w:val="right" w:leader="dot" w:pos="8296"/>
        </w:tabs>
        <w:kinsoku/>
        <w:wordWrap/>
        <w:overflowPunct/>
        <w:topLinePunct w:val="0"/>
        <w:bidi w:val="0"/>
        <w:spacing w:before="0" w:after="0" w:line="480" w:lineRule="exact"/>
        <w:rPr>
          <w:rFonts w:hint="default" w:eastAsiaTheme="minorHAnsi"/>
          <w:lang w:val="en-US" w:eastAsia="zh-CN"/>
        </w:rPr>
      </w:pPr>
      <w:r>
        <w:rPr>
          <w:rFonts w:hint="eastAsia" w:ascii="方正小标宋简体" w:hAnsi="黑体" w:eastAsia="方正小标宋简体" w:cs="黑体"/>
          <w:lang w:val="en-US" w:eastAsia="zh-CN"/>
        </w:rPr>
        <w:t>营销项目支出</w:t>
      </w:r>
      <w:r>
        <w:rPr>
          <w:rFonts w:ascii="方正小标宋简体" w:hAnsi="黑体" w:eastAsia="方正小标宋简体" w:cs="黑体"/>
        </w:rPr>
        <w:t>绩效评价报告</w:t>
      </w:r>
      <w:r>
        <w:tab/>
      </w:r>
      <w:r>
        <w:rPr>
          <w:rFonts w:hint="eastAsia"/>
          <w:lang w:val="en-US" w:eastAsia="zh-CN"/>
        </w:rPr>
        <w:t>47</w:t>
      </w:r>
    </w:p>
    <w:p>
      <w:pPr>
        <w:pStyle w:val="13"/>
        <w:pageBreakBefore w:val="0"/>
        <w:tabs>
          <w:tab w:val="right" w:leader="dot" w:pos="8296"/>
        </w:tabs>
        <w:kinsoku/>
        <w:wordWrap/>
        <w:overflowPunct/>
        <w:topLinePunct w:val="0"/>
        <w:bidi w:val="0"/>
        <w:spacing w:before="0" w:after="0" w:line="480" w:lineRule="exact"/>
        <w:rPr>
          <w:rFonts w:hint="default" w:hAnsiTheme="minorHAnsi" w:eastAsiaTheme="minorHAnsi" w:cstheme="minorBidi"/>
          <w:b w:val="0"/>
          <w:bCs w:val="0"/>
          <w:caps w:val="0"/>
          <w:sz w:val="21"/>
          <w:szCs w:val="22"/>
          <w:lang w:val="en-US" w:eastAsia="zh-CN"/>
        </w:rPr>
      </w:pPr>
      <w:r>
        <w:rPr>
          <w:rFonts w:ascii="黑体" w:hAnsi="黑体" w:eastAsia="黑体"/>
          <w:color w:val="000000"/>
        </w:rPr>
        <w:t>第</w:t>
      </w:r>
      <w:r>
        <w:rPr>
          <w:rFonts w:ascii="黑体" w:hAnsi="黑体" w:eastAsia="黑体"/>
          <w:kern w:val="44"/>
        </w:rPr>
        <w:t>五部分 附表</w:t>
      </w:r>
      <w:r>
        <w:tab/>
      </w:r>
      <w:r>
        <w:rPr>
          <w:rFonts w:hint="eastAsia"/>
          <w:lang w:val="en-US" w:eastAsia="zh-CN"/>
        </w:rPr>
        <w:t>53</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仿宋" w:hAnsi="仿宋" w:eastAsia="仿宋"/>
          <w:color w:val="000000"/>
        </w:rPr>
        <w:t>一、收</w:t>
      </w:r>
      <w:r>
        <w:rPr>
          <w:rFonts w:ascii="仿宋" w:hAnsi="仿宋" w:eastAsia="仿宋"/>
        </w:rPr>
        <w:t>入支出决算总表</w:t>
      </w:r>
      <w:r>
        <w:tab/>
      </w:r>
      <w:r>
        <w:rPr>
          <w:rFonts w:hint="eastAsia"/>
          <w:lang w:val="en-US" w:eastAsia="zh-CN"/>
        </w:rPr>
        <w:t>53</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仿宋" w:hAnsi="仿宋" w:eastAsia="仿宋"/>
          <w:color w:val="000000"/>
        </w:rPr>
        <w:t>二、收</w:t>
      </w:r>
      <w:r>
        <w:rPr>
          <w:rFonts w:ascii="仿宋" w:hAnsi="仿宋" w:eastAsia="仿宋"/>
        </w:rPr>
        <w:t>入决算表</w:t>
      </w:r>
      <w:r>
        <w:tab/>
      </w:r>
      <w:r>
        <w:rPr>
          <w:rFonts w:hint="eastAsia"/>
          <w:lang w:val="en-US" w:eastAsia="zh-CN"/>
        </w:rPr>
        <w:t>53</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仿宋" w:hAnsi="仿宋" w:eastAsia="仿宋"/>
        </w:rPr>
        <w:t>三、</w:t>
      </w:r>
      <w:r>
        <w:rPr>
          <w:rFonts w:ascii="仿宋" w:hAnsi="仿宋" w:eastAsia="仿宋"/>
          <w:color w:val="000000"/>
        </w:rPr>
        <w:t>支</w:t>
      </w:r>
      <w:r>
        <w:rPr>
          <w:rFonts w:ascii="仿宋" w:hAnsi="仿宋" w:eastAsia="仿宋"/>
        </w:rPr>
        <w:t>出决算表</w:t>
      </w:r>
      <w:r>
        <w:tab/>
      </w:r>
      <w:r>
        <w:rPr>
          <w:rFonts w:hint="eastAsia"/>
          <w:lang w:val="en-US" w:eastAsia="zh-CN"/>
        </w:rPr>
        <w:t>53</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仿宋" w:hAnsi="仿宋" w:eastAsia="仿宋"/>
        </w:rPr>
        <w:t>四、</w:t>
      </w:r>
      <w:r>
        <w:rPr>
          <w:rFonts w:ascii="仿宋" w:hAnsi="仿宋" w:eastAsia="仿宋"/>
          <w:color w:val="000000"/>
        </w:rPr>
        <w:t>财</w:t>
      </w:r>
      <w:r>
        <w:rPr>
          <w:rFonts w:ascii="仿宋" w:hAnsi="仿宋" w:eastAsia="仿宋"/>
        </w:rPr>
        <w:t>政拨款收入支出决算总表</w:t>
      </w:r>
      <w:r>
        <w:tab/>
      </w:r>
      <w:r>
        <w:rPr>
          <w:rFonts w:hint="eastAsia"/>
          <w:lang w:val="en-US" w:eastAsia="zh-CN"/>
        </w:rPr>
        <w:t>53</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仿宋" w:hAnsi="仿宋" w:eastAsia="仿宋"/>
        </w:rPr>
        <w:t>五、</w:t>
      </w:r>
      <w:r>
        <w:rPr>
          <w:rFonts w:ascii="仿宋" w:hAnsi="仿宋" w:eastAsia="仿宋"/>
          <w:color w:val="000000"/>
        </w:rPr>
        <w:t>财</w:t>
      </w:r>
      <w:r>
        <w:rPr>
          <w:rFonts w:ascii="仿宋" w:hAnsi="仿宋" w:eastAsia="仿宋"/>
        </w:rPr>
        <w:t>政拨款支出决算明细表</w:t>
      </w:r>
      <w:r>
        <w:tab/>
      </w:r>
      <w:r>
        <w:rPr>
          <w:rFonts w:hint="eastAsia"/>
          <w:lang w:val="en-US" w:eastAsia="zh-CN"/>
        </w:rPr>
        <w:t>53</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仿宋" w:hAnsi="仿宋" w:eastAsia="仿宋"/>
        </w:rPr>
        <w:t>六、</w:t>
      </w:r>
      <w:r>
        <w:rPr>
          <w:rFonts w:ascii="仿宋" w:hAnsi="仿宋" w:eastAsia="仿宋"/>
          <w:color w:val="000000"/>
        </w:rPr>
        <w:t>一</w:t>
      </w:r>
      <w:r>
        <w:rPr>
          <w:rFonts w:ascii="仿宋" w:hAnsi="仿宋" w:eastAsia="仿宋"/>
        </w:rPr>
        <w:t>般公共预算财政拨款支出决算表</w:t>
      </w:r>
      <w:r>
        <w:tab/>
      </w:r>
      <w:r>
        <w:rPr>
          <w:rFonts w:hint="eastAsia"/>
          <w:lang w:val="en-US" w:eastAsia="zh-CN"/>
        </w:rPr>
        <w:t>53</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仿宋" w:hAnsi="仿宋" w:eastAsia="仿宋"/>
        </w:rPr>
        <w:t>七、</w:t>
      </w:r>
      <w:r>
        <w:rPr>
          <w:rFonts w:ascii="仿宋" w:hAnsi="仿宋" w:eastAsia="仿宋"/>
          <w:color w:val="000000"/>
        </w:rPr>
        <w:t>一</w:t>
      </w:r>
      <w:r>
        <w:rPr>
          <w:rFonts w:ascii="仿宋" w:hAnsi="仿宋" w:eastAsia="仿宋"/>
        </w:rPr>
        <w:t>般公共预算财政拨款支出决算明细表</w:t>
      </w:r>
      <w:r>
        <w:tab/>
      </w:r>
      <w:r>
        <w:rPr>
          <w:rFonts w:hint="eastAsia"/>
          <w:lang w:val="en-US" w:eastAsia="zh-CN"/>
        </w:rPr>
        <w:t>53</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仿宋" w:hAnsi="仿宋" w:eastAsia="仿宋"/>
        </w:rPr>
        <w:t>八、</w:t>
      </w:r>
      <w:r>
        <w:rPr>
          <w:rFonts w:ascii="仿宋" w:hAnsi="仿宋" w:eastAsia="仿宋"/>
          <w:color w:val="000000"/>
        </w:rPr>
        <w:t>一</w:t>
      </w:r>
      <w:r>
        <w:rPr>
          <w:rFonts w:ascii="仿宋" w:hAnsi="仿宋" w:eastAsia="仿宋"/>
        </w:rPr>
        <w:t>般公共预算财政拨款基本支出决算表</w:t>
      </w:r>
      <w:r>
        <w:tab/>
      </w:r>
      <w:r>
        <w:rPr>
          <w:rFonts w:hint="eastAsia"/>
          <w:lang w:val="en-US" w:eastAsia="zh-CN"/>
        </w:rPr>
        <w:t>53</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仿宋" w:hAnsi="仿宋" w:eastAsia="仿宋"/>
        </w:rPr>
        <w:t>九、</w:t>
      </w:r>
      <w:r>
        <w:rPr>
          <w:rFonts w:ascii="仿宋" w:hAnsi="仿宋" w:eastAsia="仿宋"/>
          <w:color w:val="000000"/>
        </w:rPr>
        <w:t>一</w:t>
      </w:r>
      <w:r>
        <w:rPr>
          <w:rFonts w:ascii="仿宋" w:hAnsi="仿宋" w:eastAsia="仿宋"/>
        </w:rPr>
        <w:t>般公共预算财政拨款项目支出决算表</w:t>
      </w:r>
      <w:r>
        <w:tab/>
      </w:r>
      <w:r>
        <w:rPr>
          <w:rFonts w:hint="eastAsia"/>
          <w:lang w:val="en-US" w:eastAsia="zh-CN"/>
        </w:rPr>
        <w:t>53</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仿宋" w:hAnsi="仿宋" w:eastAsia="仿宋"/>
        </w:rPr>
        <w:t>十、</w:t>
      </w:r>
      <w:r>
        <w:rPr>
          <w:rFonts w:ascii="仿宋" w:hAnsi="仿宋" w:eastAsia="仿宋"/>
          <w:color w:val="000000"/>
        </w:rPr>
        <w:t>一</w:t>
      </w:r>
      <w:r>
        <w:rPr>
          <w:rFonts w:ascii="仿宋" w:hAnsi="仿宋" w:eastAsia="仿宋"/>
        </w:rPr>
        <w:t>般公共预算财政拨款“三公”经费支出决算表</w:t>
      </w:r>
      <w:r>
        <w:tab/>
      </w:r>
      <w:r>
        <w:rPr>
          <w:rFonts w:hint="eastAsia"/>
          <w:lang w:val="en-US" w:eastAsia="zh-CN"/>
        </w:rPr>
        <w:t>53</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仿宋" w:hAnsi="仿宋" w:eastAsia="仿宋"/>
        </w:rPr>
        <w:t>十一、</w:t>
      </w:r>
      <w:r>
        <w:rPr>
          <w:rFonts w:ascii="仿宋" w:hAnsi="仿宋" w:eastAsia="仿宋"/>
          <w:color w:val="000000"/>
        </w:rPr>
        <w:t>政</w:t>
      </w:r>
      <w:r>
        <w:rPr>
          <w:rFonts w:ascii="仿宋" w:hAnsi="仿宋" w:eastAsia="仿宋"/>
        </w:rPr>
        <w:t>府性基金预算财政拨款收入支出决算表</w:t>
      </w:r>
      <w:r>
        <w:tab/>
      </w:r>
      <w:r>
        <w:rPr>
          <w:rFonts w:hint="eastAsia"/>
          <w:lang w:val="en-US" w:eastAsia="zh-CN"/>
        </w:rPr>
        <w:t>53</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仿宋" w:hAnsi="仿宋" w:eastAsia="仿宋"/>
        </w:rPr>
        <w:t>十二、</w:t>
      </w:r>
      <w:r>
        <w:rPr>
          <w:rFonts w:ascii="仿宋" w:hAnsi="仿宋" w:eastAsia="仿宋"/>
          <w:color w:val="000000"/>
        </w:rPr>
        <w:t>政</w:t>
      </w:r>
      <w:r>
        <w:rPr>
          <w:rFonts w:ascii="仿宋" w:hAnsi="仿宋" w:eastAsia="仿宋"/>
        </w:rPr>
        <w:t>府性基金预算财政拨款“三公”经费支出决算表</w:t>
      </w:r>
      <w:r>
        <w:tab/>
      </w:r>
      <w:r>
        <w:rPr>
          <w:rFonts w:hint="eastAsia"/>
          <w:lang w:val="en-US" w:eastAsia="zh-CN"/>
        </w:rPr>
        <w:t>53</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仿宋" w:hAnsi="仿宋" w:eastAsia="仿宋"/>
        </w:rPr>
        <w:t>十三、</w:t>
      </w:r>
      <w:r>
        <w:rPr>
          <w:rFonts w:ascii="仿宋" w:hAnsi="仿宋" w:eastAsia="仿宋"/>
          <w:color w:val="000000"/>
        </w:rPr>
        <w:t>国</w:t>
      </w:r>
      <w:r>
        <w:rPr>
          <w:rFonts w:ascii="仿宋" w:hAnsi="仿宋" w:eastAsia="仿宋"/>
        </w:rPr>
        <w:t>有资本经营预算财政拨款支出决算表</w:t>
      </w:r>
      <w:r>
        <w:tab/>
      </w:r>
      <w:r>
        <w:rPr>
          <w:rFonts w:hint="eastAsia"/>
          <w:lang w:val="en-US" w:eastAsia="zh-CN"/>
        </w:rPr>
        <w:t>53</w:t>
      </w:r>
    </w:p>
    <w:p>
      <w:pPr>
        <w:pStyle w:val="16"/>
        <w:pageBreakBefore w:val="0"/>
        <w:tabs>
          <w:tab w:val="right" w:leader="dot" w:pos="8296"/>
        </w:tabs>
        <w:kinsoku/>
        <w:wordWrap/>
        <w:overflowPunct/>
        <w:topLinePunct w:val="0"/>
        <w:bidi w:val="0"/>
        <w:spacing w:line="480" w:lineRule="exact"/>
        <w:rPr>
          <w:rFonts w:hint="default" w:hAnsiTheme="minorHAnsi" w:eastAsiaTheme="minorHAnsi" w:cstheme="minorBidi"/>
          <w:smallCaps w:val="0"/>
          <w:sz w:val="21"/>
          <w:szCs w:val="22"/>
          <w:lang w:val="en-US" w:eastAsia="zh-CN"/>
        </w:rPr>
      </w:pPr>
      <w:r>
        <w:rPr>
          <w:rFonts w:ascii="仿宋" w:hAnsi="仿宋" w:eastAsia="仿宋"/>
        </w:rPr>
        <w:t>十四、国有资本经营预算财政拨款支出决算表</w:t>
      </w:r>
      <w:r>
        <w:tab/>
      </w:r>
      <w:r>
        <w:rPr>
          <w:rFonts w:hint="eastAsia"/>
          <w:lang w:val="en-US" w:eastAsia="zh-CN"/>
        </w:rPr>
        <w:t>53</w:t>
      </w:r>
    </w:p>
    <w:p>
      <w:pPr>
        <w:pageBreakBefore w:val="0"/>
        <w:kinsoku/>
        <w:wordWrap/>
        <w:overflowPunct/>
        <w:topLinePunct w:val="0"/>
        <w:bidi w:val="0"/>
        <w:spacing w:line="480" w:lineRule="exact"/>
      </w:pPr>
      <w:r>
        <w:rPr>
          <w:rFonts w:asciiTheme="minorHAnsi" w:eastAsiaTheme="minorHAnsi"/>
          <w:b/>
          <w:bCs/>
          <w:caps/>
          <w:sz w:val="20"/>
          <w:szCs w:val="20"/>
        </w:rPr>
        <w:fldChar w:fldCharType="end"/>
      </w:r>
    </w:p>
    <w:p>
      <w:pPr>
        <w:pageBreakBefore w:val="0"/>
        <w:widowControl/>
        <w:kinsoku/>
        <w:wordWrap/>
        <w:overflowPunct/>
        <w:topLinePunct w:val="0"/>
        <w:bidi w:val="0"/>
        <w:spacing w:line="48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pPr>
        <w:pStyle w:val="2"/>
        <w:pageBreakBefore w:val="0"/>
        <w:kinsoku/>
        <w:wordWrap/>
        <w:overflowPunct/>
        <w:topLinePunct w:val="0"/>
        <w:bidi w:val="0"/>
        <w:spacing w:before="0" w:after="0" w:line="480" w:lineRule="exact"/>
        <w:jc w:val="center"/>
        <w:rPr>
          <w:rStyle w:val="23"/>
          <w:rFonts w:ascii="黑体" w:hAnsi="黑体" w:eastAsia="黑体"/>
          <w:b/>
          <w:bCs w:val="0"/>
        </w:rPr>
      </w:pPr>
      <w:bookmarkStart w:id="14" w:name="_Toc79163601"/>
      <w:bookmarkStart w:id="15" w:name="_Toc79163851"/>
      <w:r>
        <w:rPr>
          <w:rFonts w:hint="eastAsia" w:ascii="黑体" w:hAnsi="黑体" w:eastAsia="黑体"/>
          <w:b w:val="0"/>
        </w:rPr>
        <w:t>第一部分</w:t>
      </w:r>
      <w:r>
        <w:rPr>
          <w:rFonts w:ascii="黑体" w:hAnsi="黑体" w:eastAsia="黑体"/>
          <w:b w:val="0"/>
        </w:rPr>
        <w:t xml:space="preserve"> </w:t>
      </w:r>
      <w:r>
        <w:rPr>
          <w:rStyle w:val="23"/>
          <w:rFonts w:hint="eastAsia" w:ascii="黑体" w:hAnsi="黑体" w:eastAsia="黑体"/>
          <w:b w:val="0"/>
          <w:bCs w:val="0"/>
        </w:rPr>
        <w:t>部门概况</w:t>
      </w:r>
      <w:bookmarkEnd w:id="12"/>
      <w:bookmarkEnd w:id="13"/>
      <w:bookmarkEnd w:id="14"/>
      <w:bookmarkEnd w:id="15"/>
    </w:p>
    <w:p>
      <w:pPr>
        <w:pageBreakBefore w:val="0"/>
        <w:widowControl/>
        <w:kinsoku/>
        <w:wordWrap/>
        <w:overflowPunct/>
        <w:topLinePunct w:val="0"/>
        <w:bidi w:val="0"/>
        <w:spacing w:line="480" w:lineRule="exact"/>
        <w:jc w:val="left"/>
        <w:rPr>
          <w:rFonts w:ascii="黑体" w:eastAsia="黑体"/>
          <w:color w:val="000000"/>
          <w:sz w:val="32"/>
          <w:szCs w:val="32"/>
        </w:rPr>
      </w:pPr>
    </w:p>
    <w:p>
      <w:pPr>
        <w:pStyle w:val="3"/>
        <w:pageBreakBefore w:val="0"/>
        <w:kinsoku/>
        <w:wordWrap/>
        <w:overflowPunct/>
        <w:topLinePunct w:val="0"/>
        <w:autoSpaceDE/>
        <w:autoSpaceDN/>
        <w:bidi w:val="0"/>
        <w:spacing w:before="0" w:after="0" w:line="480" w:lineRule="exact"/>
        <w:textAlignment w:val="auto"/>
        <w:rPr>
          <w:rStyle w:val="24"/>
          <w:rFonts w:ascii="仿宋" w:hAnsi="仿宋" w:eastAsia="仿宋"/>
          <w:b w:val="0"/>
          <w:bCs w:val="0"/>
        </w:rPr>
      </w:pPr>
      <w:bookmarkStart w:id="16" w:name="_Toc79163852"/>
      <w:bookmarkStart w:id="17" w:name="_Toc15396600"/>
      <w:bookmarkStart w:id="18" w:name="_Toc15377197"/>
      <w:bookmarkStart w:id="19" w:name="_Toc79163602"/>
      <w:r>
        <w:rPr>
          <w:rFonts w:hint="eastAsia" w:ascii="黑体" w:hAnsi="黑体" w:eastAsia="黑体"/>
          <w:b w:val="0"/>
          <w:color w:val="000000"/>
        </w:rPr>
        <w:t>一、基</w:t>
      </w:r>
      <w:r>
        <w:rPr>
          <w:rStyle w:val="24"/>
          <w:rFonts w:hint="eastAsia" w:ascii="黑体" w:hAnsi="黑体" w:eastAsia="黑体"/>
          <w:b w:val="0"/>
          <w:bCs w:val="0"/>
        </w:rPr>
        <w:t>本职能及主要工作</w:t>
      </w:r>
      <w:bookmarkEnd w:id="16"/>
      <w:bookmarkEnd w:id="17"/>
      <w:bookmarkEnd w:id="18"/>
      <w:bookmarkEnd w:id="19"/>
    </w:p>
    <w:p>
      <w:pPr>
        <w:pStyle w:val="6"/>
        <w:pageBreakBefore w:val="0"/>
        <w:kinsoku/>
        <w:wordWrap/>
        <w:overflowPunct/>
        <w:topLinePunct w:val="0"/>
        <w:autoSpaceDE/>
        <w:autoSpaceDN/>
        <w:bidi w:val="0"/>
        <w:adjustRightInd w:val="0"/>
        <w:snapToGrid w:val="0"/>
        <w:spacing w:beforeLines="0" w:line="480" w:lineRule="exact"/>
        <w:ind w:firstLine="672" w:firstLineChars="210"/>
        <w:textAlignment w:val="auto"/>
        <w:outlineLvl w:val="2"/>
        <w:rPr>
          <w:rFonts w:ascii="仿宋" w:hAnsi="仿宋" w:eastAsia="仿宋"/>
          <w:bCs/>
          <w:color w:val="000000"/>
          <w:sz w:val="32"/>
          <w:szCs w:val="32"/>
        </w:rPr>
      </w:pPr>
      <w:bookmarkStart w:id="20" w:name="_Toc79163853"/>
      <w:bookmarkStart w:id="21" w:name="_Toc79163603"/>
      <w:bookmarkStart w:id="22" w:name="_Toc15378445"/>
      <w:bookmarkStart w:id="23" w:name="_Toc15377198"/>
      <w:r>
        <w:rPr>
          <w:rFonts w:hint="eastAsia" w:ascii="仿宋" w:hAnsi="仿宋" w:eastAsia="仿宋"/>
          <w:bCs/>
          <w:color w:val="000000"/>
          <w:sz w:val="32"/>
          <w:szCs w:val="32"/>
        </w:rPr>
        <w:t>（一）主要职能。</w:t>
      </w:r>
      <w:bookmarkEnd w:id="20"/>
      <w:bookmarkEnd w:id="21"/>
    </w:p>
    <w:bookmarkEnd w:id="22"/>
    <w:bookmarkEnd w:id="23"/>
    <w:p>
      <w:pPr>
        <w:pStyle w:val="6"/>
        <w:pageBreakBefore w:val="0"/>
        <w:kinsoku/>
        <w:wordWrap/>
        <w:overflowPunct/>
        <w:topLinePunct w:val="0"/>
        <w:autoSpaceDE/>
        <w:autoSpaceDN/>
        <w:bidi w:val="0"/>
        <w:adjustRightInd w:val="0"/>
        <w:snapToGrid w:val="0"/>
        <w:spacing w:beforeLines="0" w:line="480" w:lineRule="exact"/>
        <w:ind w:firstLine="672" w:firstLineChars="210"/>
        <w:textAlignment w:val="auto"/>
        <w:outlineLvl w:val="2"/>
        <w:rPr>
          <w:rFonts w:hint="eastAsia" w:ascii="仿宋" w:hAnsi="仿宋" w:eastAsia="仿宋" w:cs="Times New Roman"/>
          <w:color w:val="000000"/>
          <w:kern w:val="2"/>
          <w:sz w:val="32"/>
          <w:szCs w:val="32"/>
          <w:lang w:val="en-US" w:eastAsia="zh-CN" w:bidi="ar-SA"/>
        </w:rPr>
      </w:pPr>
      <w:bookmarkStart w:id="24" w:name="_Toc15377199"/>
      <w:bookmarkStart w:id="25" w:name="_Toc15378446"/>
      <w:bookmarkStart w:id="26" w:name="_Toc79163854"/>
      <w:bookmarkStart w:id="27" w:name="_Toc79163604"/>
      <w:r>
        <w:rPr>
          <w:rFonts w:hint="eastAsia" w:ascii="仿宋" w:hAnsi="仿宋" w:eastAsia="仿宋" w:cs="Times New Roman"/>
          <w:color w:val="000000"/>
          <w:kern w:val="2"/>
          <w:sz w:val="32"/>
          <w:szCs w:val="32"/>
          <w:lang w:val="en-US" w:eastAsia="zh-CN" w:bidi="ar-SA"/>
        </w:rPr>
        <w:t>达古冰川管理局与四川三达古自然保护区管理局执行两块牌子一套人马的管理制度。主要职责是景区内632平方公里森林资源管护、野生动植物保护，旅游建设与开发等职责。</w:t>
      </w:r>
    </w:p>
    <w:p>
      <w:pPr>
        <w:pStyle w:val="6"/>
        <w:pageBreakBefore w:val="0"/>
        <w:kinsoku/>
        <w:wordWrap/>
        <w:overflowPunct/>
        <w:topLinePunct w:val="0"/>
        <w:autoSpaceDE/>
        <w:autoSpaceDN/>
        <w:bidi w:val="0"/>
        <w:adjustRightInd w:val="0"/>
        <w:snapToGrid w:val="0"/>
        <w:spacing w:beforeLines="0" w:line="480" w:lineRule="exact"/>
        <w:ind w:firstLine="672" w:firstLineChars="210"/>
        <w:textAlignment w:val="auto"/>
        <w:outlineLvl w:val="2"/>
        <w:rPr>
          <w:rFonts w:hint="eastAsia" w:ascii="仿宋" w:hAnsi="仿宋" w:eastAsia="仿宋"/>
          <w:bCs/>
          <w:color w:val="000000"/>
          <w:sz w:val="32"/>
          <w:szCs w:val="32"/>
        </w:rPr>
      </w:pPr>
      <w:r>
        <w:rPr>
          <w:rFonts w:hint="eastAsia" w:ascii="仿宋" w:hAnsi="仿宋" w:eastAsia="仿宋"/>
          <w:bCs/>
          <w:color w:val="000000"/>
          <w:sz w:val="32"/>
          <w:szCs w:val="32"/>
        </w:rPr>
        <w:t>（二）</w:t>
      </w:r>
      <w:r>
        <w:rPr>
          <w:rFonts w:ascii="仿宋" w:hAnsi="仿宋" w:eastAsia="仿宋"/>
          <w:bCs/>
          <w:color w:val="000000"/>
          <w:sz w:val="32"/>
          <w:szCs w:val="32"/>
        </w:rPr>
        <w:t>2020</w:t>
      </w:r>
      <w:r>
        <w:rPr>
          <w:rFonts w:hint="eastAsia" w:ascii="仿宋" w:hAnsi="仿宋" w:eastAsia="仿宋"/>
          <w:bCs/>
          <w:color w:val="000000"/>
          <w:sz w:val="32"/>
          <w:szCs w:val="32"/>
        </w:rPr>
        <w:t>年重点工作完成情况。</w:t>
      </w:r>
      <w:bookmarkEnd w:id="24"/>
      <w:bookmarkEnd w:id="25"/>
      <w:bookmarkEnd w:id="26"/>
      <w:bookmarkEnd w:id="27"/>
    </w:p>
    <w:p>
      <w:pPr>
        <w:pStyle w:val="6"/>
        <w:pageBreakBefore w:val="0"/>
        <w:kinsoku/>
        <w:wordWrap/>
        <w:overflowPunct/>
        <w:topLinePunct w:val="0"/>
        <w:autoSpaceDE/>
        <w:autoSpaceDN/>
        <w:bidi w:val="0"/>
        <w:adjustRightInd w:val="0"/>
        <w:snapToGrid w:val="0"/>
        <w:spacing w:beforeLines="0" w:line="480" w:lineRule="exact"/>
        <w:ind w:firstLine="672" w:firstLineChars="210"/>
        <w:textAlignment w:val="auto"/>
        <w:outlineLvl w:val="2"/>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2020年,我们紧紧围绕“一州两区三家园”战略目标，认真践行“冰川雪山也是金山银山”的发展理念，以“聚人气、创品牌，精服务、强管理，抓创建、塑形象”的工作思路，致力于擦亮“大冰川”品牌，通过深层次开发旅游产品，高标准打造旅游品牌，强力进行旅游推介，多方位营造旅游环境，全力打造冰川彩林国际旅游目的地。</w:t>
      </w:r>
    </w:p>
    <w:p>
      <w:pPr>
        <w:pageBreakBefore w:val="0"/>
        <w:kinsoku/>
        <w:wordWrap/>
        <w:overflowPunct/>
        <w:topLinePunct w:val="0"/>
        <w:autoSpaceDE/>
        <w:autoSpaceDN/>
        <w:bidi w:val="0"/>
        <w:spacing w:line="480" w:lineRule="exact"/>
        <w:ind w:firstLine="640" w:firstLineChars="200"/>
        <w:textAlignment w:val="auto"/>
        <w:rPr>
          <w:rFonts w:hint="eastAsia" w:ascii="仿宋_GB2312" w:eastAsia="仿宋_GB2312"/>
          <w:sz w:val="32"/>
          <w:szCs w:val="32"/>
        </w:rPr>
      </w:pPr>
      <w:r>
        <w:rPr>
          <w:rFonts w:hint="eastAsia" w:ascii="黑体" w:eastAsia="黑体" w:cs="仿宋"/>
          <w:sz w:val="32"/>
          <w:szCs w:val="32"/>
          <w:lang w:bidi="ar-SA"/>
        </w:rPr>
        <w:t>一是主</w:t>
      </w:r>
      <w:r>
        <w:rPr>
          <w:rFonts w:hint="eastAsia" w:ascii="黑体" w:eastAsia="黑体"/>
          <w:sz w:val="32"/>
          <w:szCs w:val="32"/>
        </w:rPr>
        <w:t>动作为、克难奋进，生态旅游发展实现历史性突破。</w:t>
      </w:r>
      <w:r>
        <w:rPr>
          <w:rFonts w:hint="eastAsia" w:ascii="仿宋" w:hAnsi="仿宋" w:eastAsia="仿宋" w:cs="Times New Roman"/>
          <w:color w:val="000000"/>
          <w:kern w:val="2"/>
          <w:sz w:val="32"/>
          <w:szCs w:val="32"/>
          <w:lang w:val="en-US" w:eastAsia="zh-CN" w:bidi="ar-SA"/>
        </w:rPr>
        <w:t xml:space="preserve">在遭受新冠肺炎疫情重创和G347线改造升级影响下，2020年，共接待游客22.07万人次，同比增长46.65%，实现景区直接收入6151.57万元，同比增长63.61%；其中门票收入1270.31万元，同比增长80.18%。今年9月，马蜂窝旅游发布“中国新秘境”榜单中，达古冰川进入全国十强（位居全国第八），是四川省唯一进入全国最强劲、最具新网红气质的景区；10月，中国旅游研究院和马蜂窝自由行大数据联合实验室做出的全国热门旅游地景区调查中，达古冰川排名第八，也是四川省地区唯一冲进全国前十的景区，在四川热门景区旅行地排行榜中，达古冰川高居榜首；同月，达古冰川景区“给冰川盖被子”“达古冰川开启冰雪旅游”等新闻“五上”中央电视台;12月，在抖音官方发布的旅行榜中，达古冰川景区在西南地区景点榜单和阿坝州景点榜单中，双双位居第一，热度高达2786.5万，关注度22.6万，在全国景点榜单中高居第三，取得了喜人成绩。                      </w:t>
      </w:r>
      <w:r>
        <w:rPr>
          <w:rFonts w:hint="eastAsia" w:ascii="仿宋" w:eastAsia="仿宋" w:cs="仿宋"/>
          <w:b/>
          <w:color w:val="FF0000"/>
          <w:sz w:val="28"/>
          <w:szCs w:val="28"/>
          <w:shd w:val="solid" w:color="FFFFFF" w:fill="FFFFFF"/>
          <w:lang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仿宋" w:hAnsi="仿宋" w:eastAsia="仿宋" w:cs="Times New Roman"/>
          <w:color w:val="000000"/>
          <w:kern w:val="2"/>
          <w:sz w:val="32"/>
          <w:szCs w:val="32"/>
          <w:lang w:val="en-US" w:eastAsia="zh-CN" w:bidi="ar-SA"/>
        </w:rPr>
      </w:pPr>
      <w:r>
        <w:rPr>
          <w:rFonts w:hint="eastAsia" w:ascii="仿宋_GB2312" w:eastAsia="仿宋_GB2312" w:cs="仿宋"/>
          <w:b/>
          <w:sz w:val="32"/>
          <w:szCs w:val="32"/>
          <w:lang w:eastAsia="zh-CN" w:bidi="ar-SA"/>
        </w:rPr>
        <w:t>二</w:t>
      </w:r>
      <w:r>
        <w:rPr>
          <w:rFonts w:hint="eastAsia" w:ascii="仿宋_GB2312" w:eastAsia="仿宋_GB2312" w:cs="仿宋"/>
          <w:b/>
          <w:sz w:val="32"/>
          <w:szCs w:val="32"/>
          <w:lang w:bidi="ar-SA"/>
        </w:rPr>
        <w:t>是</w:t>
      </w:r>
      <w:r>
        <w:rPr>
          <w:rFonts w:hint="eastAsia" w:ascii="仿宋_GB2312" w:eastAsia="仿宋_GB2312"/>
          <w:b/>
          <w:sz w:val="32"/>
          <w:szCs w:val="32"/>
        </w:rPr>
        <w:t>全力推进绿化亮化美化工程，不断强化生态资源保护，提升景区颜值。</w:t>
      </w:r>
      <w:r>
        <w:rPr>
          <w:rFonts w:hint="eastAsia" w:ascii="仿宋" w:hAnsi="仿宋" w:eastAsia="仿宋" w:cs="Times New Roman"/>
          <w:color w:val="000000"/>
          <w:kern w:val="2"/>
          <w:sz w:val="32"/>
          <w:szCs w:val="32"/>
          <w:lang w:val="en-US" w:eastAsia="zh-CN" w:bidi="ar-SA"/>
        </w:rPr>
        <w:t>先后开展《风景名胜区管理条例》等资源保护宣传教育22次，发放宣传资料23000余份；联合开展林政执法8次；开展专项野外巡护2次，巡护面积700余公顷；森林病虫害防治3次，防治面积30000余公倾；救助珍稀野生动物6次。组织干部职工5000余人次开展环境整治20余次；绿化、亮化、美化景区活动10余次；集中打造金猴海“百亩花海”景观，捡拾道路沿线绿化带乱石杂物，深入景区村寨、驻景企业开展环境综合治理督促指导7次，清运垃圾20余吨。</w:t>
      </w:r>
    </w:p>
    <w:p>
      <w:pPr>
        <w:keepNext w:val="0"/>
        <w:keepLines w:val="0"/>
        <w:pageBreakBefore w:val="0"/>
        <w:widowControl w:val="0"/>
        <w:kinsoku/>
        <w:wordWrap/>
        <w:overflowPunct/>
        <w:topLinePunct w:val="0"/>
        <w:autoSpaceDE/>
        <w:autoSpaceDN/>
        <w:bidi w:val="0"/>
        <w:spacing w:line="480" w:lineRule="exact"/>
        <w:ind w:firstLine="643" w:firstLineChars="200"/>
        <w:textAlignment w:val="auto"/>
        <w:rPr>
          <w:rFonts w:hint="eastAsia" w:ascii="仿宋" w:hAnsi="仿宋" w:eastAsia="仿宋" w:cs="Times New Roman"/>
          <w:color w:val="000000"/>
          <w:kern w:val="2"/>
          <w:sz w:val="32"/>
          <w:szCs w:val="32"/>
          <w:lang w:val="en-US" w:eastAsia="zh-CN" w:bidi="ar-SA"/>
        </w:rPr>
      </w:pPr>
      <w:r>
        <w:rPr>
          <w:rFonts w:hint="eastAsia" w:ascii="仿宋_GB2312" w:eastAsia="仿宋_GB2312" w:cs="仿宋"/>
          <w:b/>
          <w:sz w:val="32"/>
          <w:szCs w:val="32"/>
          <w:lang w:eastAsia="zh-CN" w:bidi="ar-SA"/>
        </w:rPr>
        <w:t>三</w:t>
      </w:r>
      <w:r>
        <w:rPr>
          <w:rFonts w:hint="eastAsia" w:ascii="仿宋_GB2312" w:eastAsia="仿宋_GB2312" w:cs="仿宋"/>
          <w:b/>
          <w:sz w:val="32"/>
          <w:szCs w:val="32"/>
          <w:lang w:bidi="ar-SA"/>
        </w:rPr>
        <w:t>是</w:t>
      </w:r>
      <w:r>
        <w:rPr>
          <w:rFonts w:hint="eastAsia" w:ascii="仿宋_GB2312" w:eastAsia="仿宋_GB2312"/>
          <w:b/>
          <w:sz w:val="32"/>
          <w:szCs w:val="32"/>
        </w:rPr>
        <w:t>始终坚持“抓早抓小抓苗头”，扎实推进森林草原防火专项整治，确保生态资源安全。</w:t>
      </w:r>
      <w:r>
        <w:rPr>
          <w:rFonts w:hint="eastAsia" w:ascii="仿宋_GB2312" w:eastAsia="仿宋_GB2312"/>
          <w:sz w:val="32"/>
          <w:szCs w:val="32"/>
        </w:rPr>
        <w:t>深</w:t>
      </w:r>
      <w:r>
        <w:rPr>
          <w:rFonts w:hint="eastAsia" w:ascii="仿宋" w:hAnsi="仿宋" w:eastAsia="仿宋" w:cs="Times New Roman"/>
          <w:color w:val="000000"/>
          <w:kern w:val="2"/>
          <w:sz w:val="32"/>
          <w:szCs w:val="32"/>
          <w:lang w:val="en-US" w:eastAsia="zh-CN" w:bidi="ar-SA"/>
        </w:rPr>
        <w:t>入景区一线，宣传《森林防火条例》等法律法规10次，发放宣传资料16000余份，出动流动宣传车300台次，设置防火标识标牌50余，禁火禁烟标识120个，LED滚动播放防火知识1200余条，使森林防火成为广大干部群众的自觉行动。针对景区输电线路、原住村民祭祀用火等重点环节，开展火灾隐患排查整治10次，整治森林火灾隐患6处，清理公路沿线20余公里可燃物5余吨。投入10余万元，及时添置无人机等一批森防设备。组建了由干部职工、景区义警、一线管护员和三达古民兵组成的义务扑火队4支124名队员。</w:t>
      </w:r>
    </w:p>
    <w:p>
      <w:pPr>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仿宋" w:hAnsi="仿宋" w:eastAsia="仿宋" w:cs="Times New Roman"/>
          <w:color w:val="000000"/>
          <w:kern w:val="2"/>
          <w:sz w:val="32"/>
          <w:szCs w:val="32"/>
          <w:lang w:val="en-US" w:eastAsia="zh-CN" w:bidi="ar-SA"/>
        </w:rPr>
      </w:pPr>
      <w:r>
        <w:rPr>
          <w:rFonts w:hint="eastAsia" w:ascii="仿宋_GB2312" w:eastAsia="仿宋_GB2312"/>
          <w:b/>
          <w:sz w:val="32"/>
          <w:szCs w:val="32"/>
        </w:rPr>
        <w:t>四、</w:t>
      </w:r>
      <w:r>
        <w:rPr>
          <w:rFonts w:hint="eastAsia" w:ascii="楷体_GB2312" w:eastAsia="楷体_GB2312"/>
          <w:b/>
          <w:sz w:val="32"/>
          <w:szCs w:val="32"/>
        </w:rPr>
        <w:t>坚持规划引领，注重科学发展，“大冰川”品牌创建彰显新特色。</w:t>
      </w:r>
      <w:r>
        <w:rPr>
          <w:rFonts w:hint="eastAsia" w:ascii="仿宋_GB2312" w:eastAsia="仿宋_GB2312"/>
          <w:sz w:val="32"/>
          <w:szCs w:val="32"/>
        </w:rPr>
        <w:t>按</w:t>
      </w:r>
      <w:r>
        <w:rPr>
          <w:rFonts w:hint="eastAsia" w:ascii="仿宋" w:hAnsi="仿宋" w:eastAsia="仿宋" w:cs="Times New Roman"/>
          <w:color w:val="000000"/>
          <w:kern w:val="2"/>
          <w:sz w:val="32"/>
          <w:szCs w:val="32"/>
          <w:lang w:val="en-US" w:eastAsia="zh-CN" w:bidi="ar-SA"/>
        </w:rPr>
        <w:t>照全域景区的建设和服务标准，以擦亮“大冰川”品牌为主线，以创建全国生态旅游示范区、国家级地质公园为抓手，不断丰富景区内涵，提升景区品质，建设一批特色鲜明、亮点突出的全域旅游特色品牌，提升冰川彩林旅游的知名度、美誉度和影响力，加快达古冰川转型升级发展。</w:t>
      </w:r>
    </w:p>
    <w:p>
      <w:pPr>
        <w:pStyle w:val="3"/>
        <w:pageBreakBefore w:val="0"/>
        <w:widowControl w:val="0"/>
        <w:kinsoku/>
        <w:wordWrap/>
        <w:overflowPunct/>
        <w:topLinePunct w:val="0"/>
        <w:autoSpaceDE/>
        <w:autoSpaceDN/>
        <w:bidi w:val="0"/>
        <w:adjustRightInd/>
        <w:snapToGrid/>
        <w:spacing w:before="0" w:after="0" w:line="480" w:lineRule="exact"/>
        <w:textAlignment w:val="auto"/>
        <w:rPr>
          <w:rStyle w:val="24"/>
          <w:b w:val="0"/>
          <w:bCs w:val="0"/>
        </w:rPr>
      </w:pPr>
      <w:bookmarkStart w:id="28" w:name="_Toc15396601"/>
      <w:bookmarkStart w:id="29" w:name="_Toc79163605"/>
      <w:bookmarkStart w:id="30" w:name="_Toc79163855"/>
      <w:bookmarkStart w:id="31" w:name="_Toc15377200"/>
      <w:r>
        <w:rPr>
          <w:rFonts w:hint="eastAsia" w:ascii="黑体" w:eastAsia="黑体"/>
          <w:b w:val="0"/>
          <w:color w:val="000000"/>
        </w:rPr>
        <w:t>二、</w:t>
      </w:r>
      <w:r>
        <w:rPr>
          <w:rFonts w:hint="eastAsia" w:ascii="黑体" w:hAnsi="黑体" w:eastAsia="黑体"/>
          <w:b w:val="0"/>
          <w:color w:val="000000"/>
        </w:rPr>
        <w:t>机</w:t>
      </w:r>
      <w:r>
        <w:rPr>
          <w:rStyle w:val="24"/>
          <w:rFonts w:hint="eastAsia" w:ascii="黑体" w:hAnsi="黑体" w:eastAsia="黑体"/>
          <w:b w:val="0"/>
          <w:bCs w:val="0"/>
        </w:rPr>
        <w:t>构设置</w:t>
      </w:r>
      <w:bookmarkEnd w:id="28"/>
      <w:bookmarkEnd w:id="29"/>
      <w:bookmarkEnd w:id="30"/>
      <w:bookmarkEnd w:id="31"/>
    </w:p>
    <w:p>
      <w:pPr>
        <w:pStyle w:val="6"/>
        <w:pageBreakBefore w:val="0"/>
        <w:kinsoku/>
        <w:wordWrap/>
        <w:overflowPunct/>
        <w:topLinePunct w:val="0"/>
        <w:autoSpaceDE/>
        <w:autoSpaceDN/>
        <w:bidi w:val="0"/>
        <w:adjustRightInd w:val="0"/>
        <w:snapToGrid w:val="0"/>
        <w:spacing w:beforeLines="0" w:line="480" w:lineRule="exact"/>
        <w:ind w:firstLine="672" w:firstLineChars="210"/>
        <w:textAlignment w:val="auto"/>
        <w:outlineLvl w:val="2"/>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达古冰川管理局为州直属事业单位，内设机构16个，下属二级单位0个，其中行政单位0个，参照公务员法管理的事业单位0个，其他事业单位0个。</w:t>
      </w:r>
    </w:p>
    <w:p>
      <w:pPr>
        <w:pageBreakBefore w:val="0"/>
        <w:widowControl/>
        <w:kinsoku/>
        <w:wordWrap/>
        <w:overflowPunct/>
        <w:topLinePunct w:val="0"/>
        <w:autoSpaceDE/>
        <w:autoSpaceDN/>
        <w:bidi w:val="0"/>
        <w:spacing w:line="480" w:lineRule="exact"/>
        <w:jc w:val="left"/>
        <w:textAlignment w:val="auto"/>
        <w:rPr>
          <w:rFonts w:ascii="仿宋" w:hAnsi="仿宋" w:eastAsia="仿宋"/>
          <w:color w:val="000000"/>
          <w:kern w:val="0"/>
          <w:sz w:val="32"/>
          <w:szCs w:val="32"/>
        </w:rPr>
      </w:pPr>
    </w:p>
    <w:p>
      <w:pPr>
        <w:pStyle w:val="2"/>
        <w:pageBreakBefore w:val="0"/>
        <w:kinsoku/>
        <w:wordWrap/>
        <w:overflowPunct/>
        <w:topLinePunct w:val="0"/>
        <w:bidi w:val="0"/>
        <w:spacing w:before="0" w:after="0" w:line="480" w:lineRule="exact"/>
        <w:ind w:right="440"/>
        <w:jc w:val="right"/>
        <w:rPr>
          <w:rStyle w:val="23"/>
          <w:rFonts w:ascii="黑体" w:hAnsi="黑体" w:eastAsia="黑体"/>
          <w:b w:val="0"/>
          <w:bCs w:val="0"/>
        </w:rPr>
      </w:pPr>
      <w:bookmarkStart w:id="32" w:name="_Toc15377204"/>
      <w:bookmarkStart w:id="33" w:name="_Toc79163609"/>
      <w:bookmarkStart w:id="34" w:name="_Toc15396602"/>
      <w:bookmarkStart w:id="35" w:name="_Toc79163859"/>
      <w:r>
        <w:rPr>
          <w:rFonts w:hint="eastAsia" w:ascii="黑体" w:hAnsi="黑体" w:eastAsia="黑体"/>
          <w:b w:val="0"/>
          <w:color w:val="000000"/>
        </w:rPr>
        <w:t>第二部分</w:t>
      </w:r>
      <w:r>
        <w:rPr>
          <w:rFonts w:ascii="黑体" w:hAnsi="黑体" w:eastAsia="黑体"/>
          <w:color w:val="000000"/>
        </w:rPr>
        <w:t xml:space="preserve"> </w:t>
      </w:r>
      <w:r>
        <w:rPr>
          <w:rStyle w:val="23"/>
          <w:rFonts w:ascii="黑体" w:hAnsi="黑体" w:eastAsia="黑体"/>
          <w:b w:val="0"/>
          <w:bCs w:val="0"/>
        </w:rPr>
        <w:t>2020</w:t>
      </w:r>
      <w:r>
        <w:rPr>
          <w:rStyle w:val="23"/>
          <w:rFonts w:hint="eastAsia" w:ascii="黑体" w:hAnsi="黑体" w:eastAsia="黑体"/>
          <w:b w:val="0"/>
          <w:bCs w:val="0"/>
        </w:rPr>
        <w:t>年度部门决算情况说明</w:t>
      </w:r>
      <w:bookmarkEnd w:id="32"/>
      <w:bookmarkEnd w:id="33"/>
      <w:bookmarkEnd w:id="34"/>
      <w:bookmarkEnd w:id="35"/>
    </w:p>
    <w:p>
      <w:pPr>
        <w:pageBreakBefore w:val="0"/>
        <w:kinsoku/>
        <w:wordWrap/>
        <w:overflowPunct/>
        <w:topLinePunct w:val="0"/>
        <w:bidi w:val="0"/>
        <w:spacing w:line="480" w:lineRule="exact"/>
      </w:pPr>
    </w:p>
    <w:p>
      <w:pPr>
        <w:pStyle w:val="34"/>
        <w:pageBreakBefore w:val="0"/>
        <w:numPr>
          <w:ilvl w:val="0"/>
          <w:numId w:val="1"/>
        </w:numPr>
        <w:kinsoku/>
        <w:wordWrap/>
        <w:overflowPunct/>
        <w:topLinePunct w:val="0"/>
        <w:bidi w:val="0"/>
        <w:spacing w:line="480" w:lineRule="exact"/>
        <w:ind w:firstLineChars="0"/>
        <w:outlineLvl w:val="1"/>
        <w:rPr>
          <w:rStyle w:val="24"/>
          <w:rFonts w:ascii="黑体" w:hAnsi="黑体" w:eastAsia="黑体"/>
          <w:b w:val="0"/>
        </w:rPr>
      </w:pPr>
      <w:bookmarkStart w:id="36" w:name="_Toc15396603"/>
      <w:bookmarkStart w:id="37" w:name="_Toc79163860"/>
      <w:bookmarkStart w:id="38" w:name="_Toc15377205"/>
      <w:bookmarkStart w:id="39" w:name="_Toc79163610"/>
      <w:r>
        <w:rPr>
          <w:rFonts w:hint="eastAsia" w:ascii="黑体" w:hAnsi="黑体" w:eastAsia="黑体"/>
          <w:color w:val="000000"/>
          <w:sz w:val="32"/>
          <w:szCs w:val="32"/>
        </w:rPr>
        <w:t>收</w:t>
      </w:r>
      <w:r>
        <w:rPr>
          <w:rStyle w:val="24"/>
          <w:rFonts w:hint="eastAsia" w:ascii="黑体" w:hAnsi="黑体" w:eastAsia="黑体"/>
          <w:b w:val="0"/>
        </w:rPr>
        <w:t>入支出决算总体情况说明</w:t>
      </w:r>
      <w:bookmarkEnd w:id="36"/>
      <w:bookmarkEnd w:id="37"/>
      <w:bookmarkEnd w:id="38"/>
      <w:bookmarkEnd w:id="39"/>
    </w:p>
    <w:p>
      <w:pPr>
        <w:pageBreakBefore w:val="0"/>
        <w:kinsoku/>
        <w:wordWrap/>
        <w:overflowPunct/>
        <w:topLinePunct w:val="0"/>
        <w:bidi w:val="0"/>
        <w:spacing w:line="480" w:lineRule="exact"/>
        <w:ind w:firstLine="640" w:firstLineChars="200"/>
        <w:rPr>
          <w:rFonts w:hint="eastAsia" w:ascii="仿宋" w:hAnsi="仿宋" w:eastAsia="仿宋"/>
          <w:color w:val="000000"/>
          <w:sz w:val="32"/>
          <w:szCs w:val="32"/>
          <w:lang w:val="en-US" w:eastAsia="zh-CN"/>
        </w:rPr>
      </w:pPr>
      <w:r>
        <w:rPr>
          <w:rFonts w:ascii="仿宋" w:hAnsi="仿宋" w:eastAsia="仿宋"/>
          <w:color w:val="000000"/>
          <w:sz w:val="32"/>
          <w:szCs w:val="32"/>
        </w:rPr>
        <w:t>2020</w:t>
      </w:r>
      <w:r>
        <w:rPr>
          <w:rFonts w:hint="eastAsia" w:ascii="仿宋" w:hAnsi="仿宋" w:eastAsia="仿宋"/>
          <w:color w:val="000000"/>
          <w:sz w:val="32"/>
          <w:szCs w:val="32"/>
        </w:rPr>
        <w:t>年度收、支总计</w:t>
      </w:r>
      <w:r>
        <w:rPr>
          <w:rFonts w:hint="eastAsia" w:ascii="仿宋" w:hAnsi="仿宋" w:eastAsia="仿宋"/>
          <w:color w:val="000000"/>
          <w:sz w:val="32"/>
          <w:szCs w:val="32"/>
          <w:lang w:val="en-US" w:eastAsia="zh-CN"/>
        </w:rPr>
        <w:t>4162.99</w:t>
      </w:r>
      <w:r>
        <w:rPr>
          <w:rFonts w:hint="eastAsia" w:ascii="仿宋" w:hAnsi="仿宋" w:eastAsia="仿宋"/>
          <w:color w:val="000000"/>
          <w:sz w:val="32"/>
          <w:szCs w:val="32"/>
        </w:rPr>
        <w:t>万元。与</w:t>
      </w:r>
      <w:r>
        <w:rPr>
          <w:rFonts w:ascii="仿宋" w:hAnsi="仿宋" w:eastAsia="仿宋"/>
          <w:color w:val="000000"/>
          <w:sz w:val="32"/>
          <w:szCs w:val="32"/>
        </w:rPr>
        <w:t>2019</w:t>
      </w:r>
      <w:r>
        <w:rPr>
          <w:rFonts w:hint="eastAsia" w:ascii="仿宋" w:hAnsi="仿宋" w:eastAsia="仿宋"/>
          <w:color w:val="000000"/>
          <w:sz w:val="32"/>
          <w:szCs w:val="32"/>
        </w:rPr>
        <w:t>年相比，收、支总计各增加</w:t>
      </w:r>
      <w:r>
        <w:rPr>
          <w:rFonts w:hint="eastAsia" w:ascii="仿宋" w:hAnsi="仿宋" w:eastAsia="仿宋"/>
          <w:color w:val="000000"/>
          <w:sz w:val="32"/>
          <w:szCs w:val="32"/>
          <w:lang w:val="en-US" w:eastAsia="zh-CN"/>
        </w:rPr>
        <w:t>119.95</w:t>
      </w:r>
      <w:r>
        <w:rPr>
          <w:rFonts w:hint="eastAsia" w:ascii="仿宋" w:hAnsi="仿宋" w:eastAsia="仿宋"/>
          <w:color w:val="000000"/>
          <w:sz w:val="32"/>
          <w:szCs w:val="32"/>
        </w:rPr>
        <w:t>万元，增长</w:t>
      </w:r>
      <w:r>
        <w:rPr>
          <w:rFonts w:hint="eastAsia" w:ascii="仿宋" w:hAnsi="仿宋" w:eastAsia="仿宋"/>
          <w:color w:val="000000"/>
          <w:sz w:val="32"/>
          <w:szCs w:val="32"/>
          <w:lang w:val="en-US" w:eastAsia="zh-CN"/>
        </w:rPr>
        <w:t>2.90</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color w:val="000000"/>
          <w:sz w:val="32"/>
          <w:szCs w:val="32"/>
          <w:lang w:val="en-US" w:eastAsia="zh-CN"/>
        </w:rPr>
        <w:t>年末结转结余增加。</w:t>
      </w:r>
    </w:p>
    <w:p>
      <w:pPr>
        <w:pageBreakBefore w:val="0"/>
        <w:kinsoku/>
        <w:wordWrap/>
        <w:overflowPunct/>
        <w:topLinePunct w:val="0"/>
        <w:bidi w:val="0"/>
        <w:spacing w:line="480" w:lineRule="exact"/>
        <w:ind w:firstLine="420" w:firstLineChars="200"/>
        <w:rPr>
          <w:rFonts w:hint="eastAsia" w:ascii="仿宋" w:hAnsi="仿宋" w:eastAsia="仿宋"/>
          <w:color w:val="000000"/>
          <w:sz w:val="32"/>
          <w:szCs w:val="32"/>
          <w:lang w:val="en-US" w:eastAsia="zh-CN"/>
        </w:rPr>
      </w:pPr>
      <w:r>
        <w:drawing>
          <wp:anchor distT="0" distB="0" distL="114300" distR="114300" simplePos="0" relativeHeight="251659264" behindDoc="0" locked="0" layoutInCell="1" allowOverlap="1">
            <wp:simplePos x="0" y="0"/>
            <wp:positionH relativeFrom="column">
              <wp:posOffset>528320</wp:posOffset>
            </wp:positionH>
            <wp:positionV relativeFrom="paragraph">
              <wp:posOffset>349250</wp:posOffset>
            </wp:positionV>
            <wp:extent cx="4572000" cy="2178050"/>
            <wp:effectExtent l="4445" t="4445" r="14605" b="8255"/>
            <wp:wrapSquare wrapText="bothSides"/>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pageBreakBefore w:val="0"/>
        <w:kinsoku/>
        <w:wordWrap/>
        <w:overflowPunct/>
        <w:topLinePunct w:val="0"/>
        <w:bidi w:val="0"/>
        <w:spacing w:line="480" w:lineRule="exact"/>
        <w:ind w:firstLine="640" w:firstLineChars="200"/>
        <w:rPr>
          <w:rFonts w:hint="eastAsia" w:ascii="仿宋" w:hAnsi="仿宋" w:eastAsia="仿宋"/>
          <w:color w:val="000000"/>
          <w:sz w:val="32"/>
          <w:szCs w:val="32"/>
          <w:lang w:val="en-US" w:eastAsia="zh-CN"/>
        </w:rPr>
      </w:pPr>
    </w:p>
    <w:p>
      <w:pPr>
        <w:pageBreakBefore w:val="0"/>
        <w:kinsoku/>
        <w:wordWrap/>
        <w:overflowPunct/>
        <w:topLinePunct w:val="0"/>
        <w:bidi w:val="0"/>
        <w:spacing w:line="48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w:t>
      </w:r>
    </w:p>
    <w:p>
      <w:pPr>
        <w:pageBreakBefore w:val="0"/>
        <w:kinsoku/>
        <w:wordWrap/>
        <w:overflowPunct/>
        <w:topLinePunct w:val="0"/>
        <w:bidi w:val="0"/>
        <w:spacing w:line="480" w:lineRule="exact"/>
        <w:ind w:firstLine="640" w:firstLineChars="200"/>
        <w:rPr>
          <w:rFonts w:hint="eastAsia" w:ascii="仿宋" w:hAnsi="仿宋" w:eastAsia="仿宋"/>
          <w:color w:val="000000"/>
          <w:sz w:val="32"/>
          <w:szCs w:val="32"/>
        </w:rPr>
      </w:pPr>
    </w:p>
    <w:p>
      <w:pPr>
        <w:pageBreakBefore w:val="0"/>
        <w:kinsoku/>
        <w:wordWrap/>
        <w:overflowPunct/>
        <w:topLinePunct w:val="0"/>
        <w:bidi w:val="0"/>
        <w:spacing w:line="480" w:lineRule="exact"/>
        <w:ind w:firstLine="640" w:firstLineChars="200"/>
        <w:rPr>
          <w:rFonts w:hint="eastAsia" w:ascii="仿宋" w:hAnsi="仿宋" w:eastAsia="仿宋"/>
          <w:color w:val="000000"/>
          <w:sz w:val="32"/>
          <w:szCs w:val="32"/>
        </w:rPr>
      </w:pPr>
    </w:p>
    <w:p>
      <w:pPr>
        <w:pageBreakBefore w:val="0"/>
        <w:kinsoku/>
        <w:wordWrap/>
        <w:overflowPunct/>
        <w:topLinePunct w:val="0"/>
        <w:bidi w:val="0"/>
        <w:spacing w:line="480" w:lineRule="exact"/>
        <w:ind w:firstLine="640" w:firstLineChars="200"/>
        <w:rPr>
          <w:rFonts w:hint="eastAsia" w:ascii="仿宋" w:hAnsi="仿宋" w:eastAsia="仿宋"/>
          <w:color w:val="000000"/>
          <w:sz w:val="32"/>
          <w:szCs w:val="32"/>
        </w:rPr>
      </w:pPr>
    </w:p>
    <w:p>
      <w:pPr>
        <w:pageBreakBefore w:val="0"/>
        <w:kinsoku/>
        <w:wordWrap/>
        <w:overflowPunct/>
        <w:topLinePunct w:val="0"/>
        <w:bidi w:val="0"/>
        <w:spacing w:line="480" w:lineRule="exact"/>
        <w:rPr>
          <w:rFonts w:hint="eastAsia" w:ascii="仿宋" w:hAnsi="仿宋" w:eastAsia="仿宋"/>
          <w:color w:val="000000"/>
          <w:sz w:val="32"/>
          <w:szCs w:val="32"/>
        </w:rPr>
      </w:pPr>
    </w:p>
    <w:p>
      <w:pPr>
        <w:pageBreakBefore w:val="0"/>
        <w:kinsoku/>
        <w:wordWrap/>
        <w:overflowPunct/>
        <w:topLinePunct w:val="0"/>
        <w:bidi w:val="0"/>
        <w:spacing w:line="480" w:lineRule="exact"/>
        <w:ind w:firstLine="1600" w:firstLineChars="500"/>
        <w:rPr>
          <w:rFonts w:hint="eastAsia" w:ascii="仿宋" w:hAnsi="仿宋" w:eastAsia="仿宋"/>
          <w:color w:val="000000"/>
          <w:sz w:val="32"/>
          <w:szCs w:val="32"/>
          <w:lang w:eastAsia="zh-CN"/>
        </w:rPr>
      </w:pPr>
      <w:r>
        <w:rPr>
          <w:rFonts w:hint="eastAsia" w:ascii="仿宋" w:hAnsi="仿宋" w:eastAsia="仿宋"/>
          <w:color w:val="000000"/>
          <w:sz w:val="32"/>
          <w:szCs w:val="32"/>
          <w:lang w:eastAsia="zh-CN"/>
        </w:rPr>
        <w:t>（</w:t>
      </w:r>
    </w:p>
    <w:p>
      <w:pPr>
        <w:pageBreakBefore w:val="0"/>
        <w:kinsoku/>
        <w:wordWrap/>
        <w:overflowPunct/>
        <w:topLinePunct w:val="0"/>
        <w:bidi w:val="0"/>
        <w:spacing w:line="480" w:lineRule="exact"/>
        <w:ind w:firstLine="1600" w:firstLineChars="500"/>
        <w:rPr>
          <w:rFonts w:hint="eastAsia" w:ascii="仿宋" w:hAnsi="仿宋" w:eastAsia="仿宋"/>
          <w:color w:val="000000"/>
          <w:sz w:val="32"/>
          <w:szCs w:val="32"/>
          <w:lang w:eastAsia="zh-CN"/>
        </w:rPr>
      </w:pPr>
    </w:p>
    <w:p>
      <w:pPr>
        <w:pageBreakBefore w:val="0"/>
        <w:kinsoku/>
        <w:wordWrap/>
        <w:overflowPunct/>
        <w:topLinePunct w:val="0"/>
        <w:bidi w:val="0"/>
        <w:spacing w:line="480" w:lineRule="exact"/>
        <w:ind w:firstLine="1920" w:firstLineChars="600"/>
        <w:rPr>
          <w:rFonts w:ascii="仿宋_GB2312" w:eastAsia="仿宋_GB2312"/>
          <w:color w:val="000000"/>
          <w:sz w:val="32"/>
          <w:szCs w:val="32"/>
        </w:rPr>
      </w:pPr>
      <w:r>
        <w:rPr>
          <w:rFonts w:hint="eastAsia" w:ascii="仿宋" w:hAnsi="仿宋" w:eastAsia="仿宋"/>
          <w:color w:val="000000"/>
          <w:sz w:val="32"/>
          <w:szCs w:val="32"/>
          <w:lang w:eastAsia="zh-CN"/>
        </w:rPr>
        <w:t>（</w:t>
      </w:r>
      <w:r>
        <w:rPr>
          <w:rFonts w:hint="eastAsia" w:ascii="仿宋" w:hAnsi="仿宋" w:eastAsia="仿宋"/>
          <w:color w:val="000000"/>
          <w:sz w:val="32"/>
          <w:szCs w:val="32"/>
        </w:rPr>
        <w:t>图</w:t>
      </w:r>
      <w:r>
        <w:rPr>
          <w:rFonts w:ascii="仿宋" w:hAnsi="仿宋" w:eastAsia="仿宋"/>
          <w:color w:val="000000"/>
          <w:sz w:val="32"/>
          <w:szCs w:val="32"/>
        </w:rPr>
        <w:t>1</w:t>
      </w:r>
      <w:r>
        <w:rPr>
          <w:rFonts w:hint="eastAsia" w:ascii="仿宋" w:hAnsi="仿宋" w:eastAsia="仿宋"/>
          <w:color w:val="000000"/>
          <w:sz w:val="32"/>
          <w:szCs w:val="32"/>
        </w:rPr>
        <w:t>：收、支决算总计变动情况图）</w:t>
      </w:r>
    </w:p>
    <w:p>
      <w:pPr>
        <w:pStyle w:val="34"/>
        <w:pageBreakBefore w:val="0"/>
        <w:numPr>
          <w:ilvl w:val="0"/>
          <w:numId w:val="1"/>
        </w:numPr>
        <w:kinsoku/>
        <w:wordWrap/>
        <w:overflowPunct/>
        <w:topLinePunct w:val="0"/>
        <w:bidi w:val="0"/>
        <w:spacing w:line="480" w:lineRule="exact"/>
        <w:ind w:firstLineChars="0"/>
        <w:outlineLvl w:val="1"/>
        <w:rPr>
          <w:rStyle w:val="24"/>
          <w:rFonts w:ascii="黑体" w:hAnsi="黑体" w:eastAsia="黑体"/>
          <w:b w:val="0"/>
        </w:rPr>
      </w:pPr>
      <w:bookmarkStart w:id="40" w:name="_Toc79163611"/>
      <w:bookmarkStart w:id="41" w:name="_Toc15377206"/>
      <w:bookmarkStart w:id="42" w:name="_Toc79163861"/>
      <w:bookmarkStart w:id="43" w:name="_Toc15396604"/>
      <w:r>
        <w:rPr>
          <w:rFonts w:hint="eastAsia" w:ascii="黑体" w:hAnsi="黑体" w:eastAsia="黑体"/>
          <w:color w:val="000000"/>
          <w:sz w:val="32"/>
          <w:szCs w:val="32"/>
        </w:rPr>
        <w:t>收</w:t>
      </w:r>
      <w:r>
        <w:rPr>
          <w:rStyle w:val="24"/>
          <w:rFonts w:hint="eastAsia" w:ascii="黑体" w:hAnsi="黑体" w:eastAsia="黑体"/>
          <w:b w:val="0"/>
        </w:rPr>
        <w:t>入决算情况说明</w:t>
      </w:r>
      <w:bookmarkEnd w:id="40"/>
      <w:bookmarkEnd w:id="41"/>
      <w:bookmarkEnd w:id="42"/>
      <w:bookmarkEnd w:id="43"/>
    </w:p>
    <w:p>
      <w:pPr>
        <w:pageBreakBefore w:val="0"/>
        <w:kinsoku/>
        <w:wordWrap/>
        <w:overflowPunct/>
        <w:topLinePunct w:val="0"/>
        <w:bidi w:val="0"/>
        <w:spacing w:line="480" w:lineRule="exact"/>
        <w:ind w:firstLine="640" w:firstLineChars="200"/>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年本年收入合计</w:t>
      </w:r>
      <w:r>
        <w:rPr>
          <w:rFonts w:hint="eastAsia" w:ascii="仿宋" w:hAnsi="仿宋" w:eastAsia="仿宋"/>
          <w:color w:val="000000"/>
          <w:sz w:val="32"/>
          <w:szCs w:val="32"/>
          <w:lang w:val="en-US" w:eastAsia="zh-CN"/>
        </w:rPr>
        <w:t>3406.96</w:t>
      </w:r>
      <w:r>
        <w:rPr>
          <w:rFonts w:hint="eastAsia" w:ascii="仿宋" w:hAnsi="仿宋" w:eastAsia="仿宋"/>
          <w:color w:val="000000"/>
          <w:sz w:val="32"/>
          <w:szCs w:val="32"/>
        </w:rPr>
        <w:t>万元，其中：一般公共预算财政拨款收入</w:t>
      </w:r>
      <w:r>
        <w:rPr>
          <w:rFonts w:hint="eastAsia" w:ascii="仿宋" w:hAnsi="仿宋" w:eastAsia="仿宋"/>
          <w:color w:val="000000"/>
          <w:sz w:val="32"/>
          <w:szCs w:val="32"/>
          <w:lang w:val="en-US" w:eastAsia="zh-CN"/>
        </w:rPr>
        <w:t>3406.96</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100</w:t>
      </w:r>
      <w:r>
        <w:rPr>
          <w:rFonts w:ascii="仿宋" w:hAnsi="仿宋" w:eastAsia="仿宋"/>
          <w:color w:val="000000"/>
          <w:sz w:val="32"/>
          <w:szCs w:val="32"/>
        </w:rPr>
        <w:t>%</w:t>
      </w:r>
      <w:r>
        <w:rPr>
          <w:rFonts w:hint="eastAsia" w:ascii="仿宋" w:hAnsi="仿宋" w:eastAsia="仿宋"/>
          <w:color w:val="000000"/>
          <w:sz w:val="32"/>
          <w:szCs w:val="32"/>
        </w:rPr>
        <w:t>；政府性基金预算财政拨款收入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；上级补助收入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；事业收入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；经营收入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；附属单位上缴收入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；其他收入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w:t>
      </w:r>
    </w:p>
    <w:p>
      <w:pPr>
        <w:pageBreakBefore w:val="0"/>
        <w:kinsoku/>
        <w:wordWrap/>
        <w:overflowPunct/>
        <w:topLinePunct w:val="0"/>
        <w:bidi w:val="0"/>
        <w:spacing w:line="480" w:lineRule="exact"/>
        <w:ind w:firstLine="420" w:firstLineChars="200"/>
        <w:rPr>
          <w:rFonts w:ascii="仿宋_GB2312" w:eastAsia="仿宋_GB2312"/>
          <w:color w:val="FF0000"/>
          <w:sz w:val="32"/>
          <w:szCs w:val="32"/>
        </w:rPr>
      </w:pPr>
      <w:r>
        <w:drawing>
          <wp:anchor distT="0" distB="0" distL="114300" distR="114300" simplePos="0" relativeHeight="251660288" behindDoc="1" locked="0" layoutInCell="1" allowOverlap="1">
            <wp:simplePos x="0" y="0"/>
            <wp:positionH relativeFrom="column">
              <wp:posOffset>1090295</wp:posOffset>
            </wp:positionH>
            <wp:positionV relativeFrom="paragraph">
              <wp:posOffset>166370</wp:posOffset>
            </wp:positionV>
            <wp:extent cx="2943860" cy="1829435"/>
            <wp:effectExtent l="4445" t="4445" r="23495" b="71120"/>
            <wp:wrapTight wrapText="bothSides">
              <wp:wrapPolygon>
                <wp:start x="-33" y="-52"/>
                <wp:lineTo x="-33" y="21540"/>
                <wp:lineTo x="21493" y="21540"/>
                <wp:lineTo x="21493" y="-52"/>
                <wp:lineTo x="-33" y="-52"/>
              </wp:wrapPolygon>
            </wp:wrapTight>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pageBreakBefore w:val="0"/>
        <w:kinsoku/>
        <w:wordWrap/>
        <w:overflowPunct/>
        <w:topLinePunct w:val="0"/>
        <w:bidi w:val="0"/>
        <w:spacing w:line="480" w:lineRule="exact"/>
        <w:ind w:firstLine="640" w:firstLineChars="200"/>
        <w:rPr>
          <w:rFonts w:ascii="仿宋_GB2312" w:eastAsia="仿宋_GB2312"/>
          <w:color w:val="FF0000"/>
          <w:sz w:val="32"/>
          <w:szCs w:val="32"/>
        </w:rPr>
      </w:pPr>
    </w:p>
    <w:p>
      <w:pPr>
        <w:pageBreakBefore w:val="0"/>
        <w:kinsoku/>
        <w:wordWrap/>
        <w:overflowPunct/>
        <w:topLinePunct w:val="0"/>
        <w:bidi w:val="0"/>
        <w:spacing w:line="480" w:lineRule="exact"/>
        <w:ind w:firstLine="640" w:firstLineChars="200"/>
        <w:rPr>
          <w:rFonts w:ascii="仿宋_GB2312" w:eastAsia="仿宋_GB2312"/>
          <w:color w:val="FF0000"/>
          <w:sz w:val="32"/>
          <w:szCs w:val="32"/>
        </w:rPr>
      </w:pPr>
    </w:p>
    <w:p>
      <w:pPr>
        <w:pageBreakBefore w:val="0"/>
        <w:kinsoku/>
        <w:wordWrap/>
        <w:overflowPunct/>
        <w:topLinePunct w:val="0"/>
        <w:bidi w:val="0"/>
        <w:spacing w:line="480" w:lineRule="exact"/>
        <w:ind w:firstLine="640" w:firstLineChars="200"/>
        <w:rPr>
          <w:rFonts w:ascii="仿宋_GB2312" w:eastAsia="仿宋_GB2312"/>
          <w:color w:val="FF0000"/>
          <w:sz w:val="32"/>
          <w:szCs w:val="32"/>
        </w:rPr>
      </w:pPr>
    </w:p>
    <w:p>
      <w:pPr>
        <w:pageBreakBefore w:val="0"/>
        <w:kinsoku/>
        <w:wordWrap/>
        <w:overflowPunct/>
        <w:topLinePunct w:val="0"/>
        <w:bidi w:val="0"/>
        <w:spacing w:line="480" w:lineRule="exact"/>
        <w:rPr>
          <w:rFonts w:hint="eastAsia" w:ascii="仿宋" w:hAnsi="仿宋" w:eastAsia="仿宋"/>
          <w:color w:val="000000"/>
          <w:sz w:val="32"/>
          <w:szCs w:val="32"/>
        </w:rPr>
      </w:pPr>
    </w:p>
    <w:p>
      <w:pPr>
        <w:pageBreakBefore w:val="0"/>
        <w:kinsoku/>
        <w:wordWrap/>
        <w:overflowPunct/>
        <w:topLinePunct w:val="0"/>
        <w:bidi w:val="0"/>
        <w:spacing w:line="480" w:lineRule="exact"/>
        <w:ind w:firstLine="1600" w:firstLineChars="500"/>
        <w:rPr>
          <w:rFonts w:ascii="仿宋_GB2312" w:eastAsia="仿宋_GB2312"/>
          <w:color w:val="FF0000"/>
          <w:sz w:val="32"/>
          <w:szCs w:val="32"/>
        </w:rPr>
      </w:pPr>
      <w:r>
        <w:rPr>
          <w:rFonts w:hint="eastAsia" w:ascii="仿宋" w:hAnsi="仿宋" w:eastAsia="仿宋"/>
          <w:color w:val="000000"/>
          <w:sz w:val="32"/>
          <w:szCs w:val="32"/>
          <w:lang w:eastAsia="zh-CN"/>
        </w:rPr>
        <w:t>（</w:t>
      </w:r>
      <w:r>
        <w:rPr>
          <w:rFonts w:hint="eastAsia" w:ascii="仿宋" w:hAnsi="仿宋" w:eastAsia="仿宋"/>
          <w:color w:val="000000"/>
          <w:sz w:val="32"/>
          <w:szCs w:val="32"/>
        </w:rPr>
        <w:t>图</w:t>
      </w:r>
      <w:r>
        <w:rPr>
          <w:rFonts w:ascii="仿宋" w:hAnsi="仿宋" w:eastAsia="仿宋"/>
          <w:color w:val="000000"/>
          <w:sz w:val="32"/>
          <w:szCs w:val="32"/>
        </w:rPr>
        <w:t>2</w:t>
      </w:r>
      <w:r>
        <w:rPr>
          <w:rFonts w:hint="eastAsia" w:ascii="仿宋" w:hAnsi="仿宋" w:eastAsia="仿宋"/>
          <w:color w:val="000000"/>
          <w:sz w:val="32"/>
          <w:szCs w:val="32"/>
        </w:rPr>
        <w:t>：收入决算结构图）（饼状图）</w:t>
      </w:r>
    </w:p>
    <w:p>
      <w:pPr>
        <w:pStyle w:val="34"/>
        <w:pageBreakBefore w:val="0"/>
        <w:numPr>
          <w:ilvl w:val="0"/>
          <w:numId w:val="1"/>
        </w:numPr>
        <w:kinsoku/>
        <w:wordWrap/>
        <w:overflowPunct/>
        <w:topLinePunct w:val="0"/>
        <w:bidi w:val="0"/>
        <w:spacing w:line="480" w:lineRule="exact"/>
        <w:ind w:firstLineChars="0"/>
        <w:outlineLvl w:val="1"/>
        <w:rPr>
          <w:rStyle w:val="24"/>
          <w:rFonts w:ascii="黑体" w:hAnsi="黑体" w:eastAsia="黑体"/>
          <w:b w:val="0"/>
        </w:rPr>
      </w:pPr>
      <w:bookmarkStart w:id="44" w:name="_Toc79163862"/>
      <w:bookmarkStart w:id="45" w:name="_Toc15396605"/>
      <w:bookmarkStart w:id="46" w:name="_Toc79163612"/>
      <w:bookmarkStart w:id="47" w:name="_Toc15377207"/>
      <w:r>
        <w:rPr>
          <w:rFonts w:hint="eastAsia" w:ascii="黑体" w:hAnsi="黑体" w:eastAsia="黑体"/>
          <w:color w:val="000000"/>
          <w:sz w:val="32"/>
          <w:szCs w:val="32"/>
        </w:rPr>
        <w:t>支</w:t>
      </w:r>
      <w:r>
        <w:rPr>
          <w:rStyle w:val="24"/>
          <w:rFonts w:hint="eastAsia" w:ascii="黑体" w:hAnsi="黑体" w:eastAsia="黑体"/>
          <w:b w:val="0"/>
        </w:rPr>
        <w:t>出决算情况说明</w:t>
      </w:r>
      <w:bookmarkEnd w:id="44"/>
      <w:bookmarkEnd w:id="45"/>
      <w:bookmarkEnd w:id="46"/>
      <w:bookmarkEnd w:id="47"/>
    </w:p>
    <w:p>
      <w:pPr>
        <w:pageBreakBefore w:val="0"/>
        <w:kinsoku/>
        <w:wordWrap/>
        <w:overflowPunct/>
        <w:topLinePunct w:val="0"/>
        <w:bidi w:val="0"/>
        <w:spacing w:line="480" w:lineRule="exact"/>
        <w:ind w:firstLine="640" w:firstLineChars="200"/>
        <w:rPr>
          <w:rFonts w:ascii="仿宋_GB2312" w:eastAsia="仿宋_GB2312"/>
          <w:sz w:val="32"/>
          <w:szCs w:val="32"/>
        </w:rPr>
      </w:pPr>
      <w:r>
        <w:rPr>
          <w:rFonts w:ascii="仿宋_GB2312" w:eastAsia="仿宋_GB2312"/>
          <w:sz w:val="32"/>
          <w:szCs w:val="32"/>
        </w:rPr>
        <w:t>2020</w:t>
      </w:r>
      <w:r>
        <w:rPr>
          <w:rFonts w:hint="eastAsia" w:ascii="仿宋_GB2312" w:eastAsia="仿宋_GB2312"/>
          <w:sz w:val="32"/>
          <w:szCs w:val="32"/>
        </w:rPr>
        <w:t>年本年支出合计</w:t>
      </w:r>
      <w:r>
        <w:rPr>
          <w:rFonts w:hint="eastAsia" w:ascii="仿宋_GB2312" w:eastAsia="仿宋_GB2312"/>
          <w:sz w:val="32"/>
          <w:szCs w:val="32"/>
          <w:lang w:val="en-US" w:eastAsia="zh-CN"/>
        </w:rPr>
        <w:t>3799.61</w:t>
      </w:r>
      <w:r>
        <w:rPr>
          <w:rFonts w:hint="eastAsia" w:ascii="仿宋_GB2312" w:eastAsia="仿宋_GB2312"/>
          <w:sz w:val="32"/>
          <w:szCs w:val="32"/>
        </w:rPr>
        <w:t>万元，其中：基本支出</w:t>
      </w:r>
      <w:r>
        <w:rPr>
          <w:rFonts w:hint="eastAsia" w:ascii="仿宋_GB2312" w:eastAsia="仿宋_GB2312"/>
          <w:sz w:val="32"/>
          <w:szCs w:val="32"/>
          <w:lang w:val="en-US" w:eastAsia="zh-CN"/>
        </w:rPr>
        <w:t>2594.03</w:t>
      </w:r>
      <w:r>
        <w:rPr>
          <w:rFonts w:hint="eastAsia" w:ascii="仿宋_GB2312" w:eastAsia="仿宋_GB2312"/>
          <w:sz w:val="32"/>
          <w:szCs w:val="32"/>
        </w:rPr>
        <w:t>万元，占</w:t>
      </w:r>
      <w:r>
        <w:rPr>
          <w:rFonts w:hint="eastAsia" w:ascii="仿宋_GB2312" w:eastAsia="仿宋_GB2312"/>
          <w:sz w:val="32"/>
          <w:szCs w:val="32"/>
          <w:lang w:val="en-US" w:eastAsia="zh-CN"/>
        </w:rPr>
        <w:t>68.27</w:t>
      </w:r>
      <w:r>
        <w:rPr>
          <w:rFonts w:ascii="仿宋_GB2312" w:eastAsia="仿宋_GB2312"/>
          <w:sz w:val="32"/>
          <w:szCs w:val="32"/>
        </w:rPr>
        <w:t>%</w:t>
      </w:r>
      <w:r>
        <w:rPr>
          <w:rFonts w:hint="eastAsia" w:ascii="仿宋_GB2312" w:eastAsia="仿宋_GB2312"/>
          <w:sz w:val="32"/>
          <w:szCs w:val="32"/>
        </w:rPr>
        <w:t>；项目支出</w:t>
      </w:r>
      <w:r>
        <w:rPr>
          <w:rFonts w:hint="eastAsia" w:ascii="仿宋_GB2312" w:eastAsia="仿宋_GB2312"/>
          <w:sz w:val="32"/>
          <w:szCs w:val="32"/>
          <w:lang w:val="en-US" w:eastAsia="zh-CN"/>
        </w:rPr>
        <w:t>1205.58</w:t>
      </w:r>
      <w:r>
        <w:rPr>
          <w:rFonts w:hint="eastAsia" w:ascii="仿宋_GB2312" w:eastAsia="仿宋_GB2312"/>
          <w:sz w:val="32"/>
          <w:szCs w:val="32"/>
        </w:rPr>
        <w:t>万元，占</w:t>
      </w:r>
      <w:r>
        <w:rPr>
          <w:rFonts w:hint="eastAsia" w:ascii="仿宋_GB2312" w:eastAsia="仿宋_GB2312"/>
          <w:sz w:val="32"/>
          <w:szCs w:val="32"/>
          <w:lang w:val="en-US" w:eastAsia="zh-CN"/>
        </w:rPr>
        <w:t>21.73</w:t>
      </w:r>
      <w:r>
        <w:rPr>
          <w:rFonts w:ascii="仿宋_GB2312" w:eastAsia="仿宋_GB2312"/>
          <w:sz w:val="32"/>
          <w:szCs w:val="32"/>
        </w:rPr>
        <w:t>%</w:t>
      </w:r>
      <w:r>
        <w:rPr>
          <w:rFonts w:hint="eastAsia" w:ascii="仿宋_GB2312" w:eastAsia="仿宋_GB2312"/>
          <w:sz w:val="32"/>
          <w:szCs w:val="32"/>
        </w:rPr>
        <w:t>；上缴上级支出</w:t>
      </w:r>
      <w:r>
        <w:rPr>
          <w:rFonts w:hint="eastAsia" w:ascii="仿宋_GB2312" w:eastAsia="仿宋_GB2312"/>
          <w:sz w:val="32"/>
          <w:szCs w:val="32"/>
          <w:lang w:val="en-US" w:eastAsia="zh-CN"/>
        </w:rPr>
        <w:t>0</w:t>
      </w:r>
      <w:r>
        <w:rPr>
          <w:rFonts w:hint="eastAsia" w:ascii="仿宋_GB2312" w:eastAsia="仿宋_GB2312"/>
          <w:sz w:val="32"/>
          <w:szCs w:val="32"/>
        </w:rPr>
        <w:t>万元，占</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；经营支出</w:t>
      </w:r>
      <w:r>
        <w:rPr>
          <w:rFonts w:hint="eastAsia" w:ascii="仿宋_GB2312" w:eastAsia="仿宋_GB2312"/>
          <w:sz w:val="32"/>
          <w:szCs w:val="32"/>
          <w:lang w:val="en-US" w:eastAsia="zh-CN"/>
        </w:rPr>
        <w:t>0</w:t>
      </w:r>
      <w:r>
        <w:rPr>
          <w:rFonts w:hint="eastAsia" w:ascii="仿宋_GB2312" w:eastAsia="仿宋_GB2312"/>
          <w:sz w:val="32"/>
          <w:szCs w:val="32"/>
        </w:rPr>
        <w:t>万元，占</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；对附属单位补助支出</w:t>
      </w:r>
      <w:r>
        <w:rPr>
          <w:rFonts w:hint="eastAsia" w:ascii="仿宋_GB2312" w:eastAsia="仿宋_GB2312"/>
          <w:sz w:val="32"/>
          <w:szCs w:val="32"/>
          <w:lang w:val="en-US" w:eastAsia="zh-CN"/>
        </w:rPr>
        <w:t>0</w:t>
      </w:r>
      <w:r>
        <w:rPr>
          <w:rFonts w:hint="eastAsia" w:ascii="仿宋_GB2312" w:eastAsia="仿宋_GB2312"/>
          <w:sz w:val="32"/>
          <w:szCs w:val="32"/>
        </w:rPr>
        <w:t>万元，占</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pageBreakBefore w:val="0"/>
        <w:kinsoku/>
        <w:wordWrap/>
        <w:overflowPunct/>
        <w:topLinePunct w:val="0"/>
        <w:bidi w:val="0"/>
        <w:spacing w:line="480" w:lineRule="exact"/>
        <w:ind w:firstLine="640"/>
        <w:rPr>
          <w:rFonts w:hint="eastAsia" w:ascii="仿宋" w:hAnsi="仿宋" w:eastAsia="仿宋"/>
          <w:color w:val="000000"/>
          <w:sz w:val="32"/>
          <w:szCs w:val="32"/>
          <w:shd w:val="pct10" w:color="auto" w:fill="FFFFFF"/>
          <w:lang w:eastAsia="zh-CN"/>
        </w:rPr>
      </w:pPr>
      <w:r>
        <w:drawing>
          <wp:anchor distT="0" distB="0" distL="114300" distR="114300" simplePos="0" relativeHeight="251661312" behindDoc="0" locked="0" layoutInCell="1" allowOverlap="1">
            <wp:simplePos x="0" y="0"/>
            <wp:positionH relativeFrom="column">
              <wp:posOffset>772795</wp:posOffset>
            </wp:positionH>
            <wp:positionV relativeFrom="paragraph">
              <wp:posOffset>84455</wp:posOffset>
            </wp:positionV>
            <wp:extent cx="3867785" cy="2152015"/>
            <wp:effectExtent l="4445" t="4445" r="13970" b="15240"/>
            <wp:wrapSquare wrapText="bothSides"/>
            <wp:docPr id="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pageBreakBefore w:val="0"/>
        <w:kinsoku/>
        <w:wordWrap/>
        <w:overflowPunct/>
        <w:topLinePunct w:val="0"/>
        <w:bidi w:val="0"/>
        <w:spacing w:line="480" w:lineRule="exact"/>
        <w:ind w:firstLine="640"/>
        <w:rPr>
          <w:rFonts w:hint="eastAsia" w:ascii="仿宋" w:hAnsi="仿宋" w:eastAsia="仿宋"/>
          <w:color w:val="000000"/>
          <w:sz w:val="32"/>
          <w:szCs w:val="32"/>
          <w:shd w:val="pct10" w:color="auto" w:fill="FFFFFF"/>
          <w:lang w:eastAsia="zh-CN"/>
        </w:rPr>
      </w:pPr>
    </w:p>
    <w:p>
      <w:pPr>
        <w:pageBreakBefore w:val="0"/>
        <w:kinsoku/>
        <w:wordWrap/>
        <w:overflowPunct/>
        <w:topLinePunct w:val="0"/>
        <w:bidi w:val="0"/>
        <w:spacing w:line="480" w:lineRule="exact"/>
        <w:ind w:firstLine="640"/>
        <w:rPr>
          <w:rFonts w:hint="eastAsia" w:ascii="仿宋" w:hAnsi="仿宋" w:eastAsia="仿宋"/>
          <w:color w:val="000000"/>
          <w:sz w:val="32"/>
          <w:szCs w:val="32"/>
          <w:shd w:val="pct10" w:color="auto" w:fill="FFFFFF"/>
          <w:lang w:eastAsia="zh-CN"/>
        </w:rPr>
      </w:pPr>
    </w:p>
    <w:p>
      <w:pPr>
        <w:pageBreakBefore w:val="0"/>
        <w:kinsoku/>
        <w:wordWrap/>
        <w:overflowPunct/>
        <w:topLinePunct w:val="0"/>
        <w:bidi w:val="0"/>
        <w:spacing w:line="480" w:lineRule="exact"/>
        <w:rPr>
          <w:rFonts w:hint="eastAsia" w:ascii="仿宋" w:hAnsi="仿宋" w:eastAsia="仿宋"/>
          <w:color w:val="000000"/>
          <w:sz w:val="32"/>
          <w:szCs w:val="32"/>
          <w:shd w:val="pct10" w:color="auto" w:fill="FFFFFF"/>
          <w:lang w:eastAsia="zh-CN"/>
        </w:rPr>
      </w:pPr>
    </w:p>
    <w:p>
      <w:pPr>
        <w:pageBreakBefore w:val="0"/>
        <w:kinsoku/>
        <w:wordWrap/>
        <w:overflowPunct/>
        <w:topLinePunct w:val="0"/>
        <w:bidi w:val="0"/>
        <w:spacing w:line="480" w:lineRule="exact"/>
        <w:rPr>
          <w:rFonts w:hint="eastAsia" w:ascii="仿宋" w:hAnsi="仿宋" w:eastAsia="仿宋"/>
          <w:color w:val="000000"/>
          <w:sz w:val="32"/>
          <w:szCs w:val="32"/>
        </w:rPr>
      </w:pPr>
    </w:p>
    <w:p>
      <w:pPr>
        <w:pageBreakBefore w:val="0"/>
        <w:kinsoku/>
        <w:wordWrap/>
        <w:overflowPunct/>
        <w:topLinePunct w:val="0"/>
        <w:bidi w:val="0"/>
        <w:spacing w:line="480" w:lineRule="exact"/>
        <w:rPr>
          <w:rFonts w:hint="eastAsia" w:ascii="仿宋" w:hAnsi="仿宋" w:eastAsia="仿宋"/>
          <w:color w:val="000000"/>
          <w:sz w:val="32"/>
          <w:szCs w:val="32"/>
        </w:rPr>
      </w:pPr>
    </w:p>
    <w:p>
      <w:pPr>
        <w:pageBreakBefore w:val="0"/>
        <w:kinsoku/>
        <w:wordWrap/>
        <w:overflowPunct/>
        <w:topLinePunct w:val="0"/>
        <w:bidi w:val="0"/>
        <w:spacing w:line="480" w:lineRule="exact"/>
        <w:ind w:firstLine="2240" w:firstLineChars="700"/>
        <w:rPr>
          <w:rFonts w:ascii="仿宋_GB2312" w:eastAsia="仿宋_GB2312"/>
          <w:color w:val="FF0000"/>
          <w:sz w:val="32"/>
          <w:szCs w:val="32"/>
        </w:rPr>
      </w:pPr>
      <w:r>
        <w:rPr>
          <w:rFonts w:hint="eastAsia" w:ascii="仿宋" w:hAnsi="仿宋" w:eastAsia="仿宋"/>
          <w:color w:val="000000"/>
          <w:sz w:val="32"/>
          <w:szCs w:val="32"/>
        </w:rPr>
        <w:t>（图</w:t>
      </w:r>
      <w:r>
        <w:rPr>
          <w:rFonts w:ascii="仿宋" w:hAnsi="仿宋" w:eastAsia="仿宋"/>
          <w:color w:val="000000"/>
          <w:sz w:val="32"/>
          <w:szCs w:val="32"/>
        </w:rPr>
        <w:t>3</w:t>
      </w:r>
      <w:r>
        <w:rPr>
          <w:rFonts w:hint="eastAsia" w:ascii="仿宋" w:hAnsi="仿宋" w:eastAsia="仿宋"/>
          <w:color w:val="000000"/>
          <w:sz w:val="32"/>
          <w:szCs w:val="32"/>
        </w:rPr>
        <w:t>：支出决算结构图）</w:t>
      </w:r>
    </w:p>
    <w:p>
      <w:pPr>
        <w:pageBreakBefore w:val="0"/>
        <w:kinsoku/>
        <w:wordWrap/>
        <w:overflowPunct/>
        <w:topLinePunct w:val="0"/>
        <w:bidi w:val="0"/>
        <w:spacing w:line="480" w:lineRule="exact"/>
        <w:ind w:firstLine="640" w:firstLineChars="200"/>
        <w:outlineLvl w:val="1"/>
        <w:rPr>
          <w:rStyle w:val="24"/>
          <w:rFonts w:ascii="黑体" w:hAnsi="黑体" w:eastAsia="黑体"/>
          <w:b w:val="0"/>
        </w:rPr>
      </w:pPr>
      <w:bookmarkStart w:id="48" w:name="_Toc15396606"/>
      <w:bookmarkStart w:id="49" w:name="_Toc79163613"/>
      <w:bookmarkStart w:id="50" w:name="_Toc15377208"/>
      <w:bookmarkStart w:id="51" w:name="_Toc79163863"/>
      <w:r>
        <w:rPr>
          <w:rFonts w:hint="eastAsia" w:ascii="黑体" w:hAnsi="黑体" w:eastAsia="黑体"/>
          <w:color w:val="000000"/>
          <w:sz w:val="32"/>
          <w:szCs w:val="32"/>
        </w:rPr>
        <w:t>四、财</w:t>
      </w:r>
      <w:r>
        <w:rPr>
          <w:rStyle w:val="24"/>
          <w:rFonts w:hint="eastAsia" w:ascii="黑体" w:hAnsi="黑体" w:eastAsia="黑体"/>
          <w:b w:val="0"/>
        </w:rPr>
        <w:t>政拨款收入支出决算总体情况说明</w:t>
      </w:r>
      <w:bookmarkEnd w:id="48"/>
      <w:bookmarkEnd w:id="49"/>
      <w:bookmarkEnd w:id="50"/>
      <w:bookmarkEnd w:id="51"/>
    </w:p>
    <w:p>
      <w:pPr>
        <w:pageBreakBefore w:val="0"/>
        <w:kinsoku/>
        <w:wordWrap/>
        <w:overflowPunct/>
        <w:topLinePunct w:val="0"/>
        <w:bidi w:val="0"/>
        <w:spacing w:line="480" w:lineRule="exact"/>
        <w:ind w:firstLine="640"/>
        <w:rPr>
          <w:rFonts w:hint="eastAsia" w:ascii="仿宋" w:hAnsi="仿宋" w:eastAsia="仿宋"/>
          <w:color w:val="000000"/>
          <w:sz w:val="32"/>
          <w:szCs w:val="32"/>
          <w:lang w:val="en-US" w:eastAsia="zh-CN"/>
        </w:rPr>
      </w:pPr>
      <w:r>
        <w:rPr>
          <w:rFonts w:ascii="仿宋" w:hAnsi="仿宋" w:eastAsia="仿宋"/>
          <w:color w:val="000000"/>
          <w:sz w:val="32"/>
          <w:szCs w:val="32"/>
        </w:rPr>
        <w:t>2020</w:t>
      </w:r>
      <w:r>
        <w:rPr>
          <w:rFonts w:hint="eastAsia" w:ascii="仿宋" w:hAnsi="仿宋" w:eastAsia="仿宋"/>
          <w:color w:val="000000"/>
          <w:sz w:val="32"/>
          <w:szCs w:val="32"/>
        </w:rPr>
        <w:t>年财政拨款收、支总计</w:t>
      </w:r>
      <w:r>
        <w:rPr>
          <w:rFonts w:hint="eastAsia" w:ascii="仿宋" w:hAnsi="仿宋" w:eastAsia="仿宋"/>
          <w:color w:val="000000"/>
          <w:sz w:val="32"/>
          <w:szCs w:val="32"/>
          <w:lang w:val="en-US" w:eastAsia="zh-CN"/>
        </w:rPr>
        <w:t>4162.99</w:t>
      </w:r>
      <w:r>
        <w:rPr>
          <w:rFonts w:hint="eastAsia" w:ascii="仿宋" w:hAnsi="仿宋" w:eastAsia="仿宋"/>
          <w:color w:val="000000"/>
          <w:sz w:val="32"/>
          <w:szCs w:val="32"/>
        </w:rPr>
        <w:t>万元。与</w:t>
      </w:r>
      <w:r>
        <w:rPr>
          <w:rFonts w:ascii="仿宋" w:hAnsi="仿宋" w:eastAsia="仿宋"/>
          <w:color w:val="000000"/>
          <w:sz w:val="32"/>
          <w:szCs w:val="32"/>
        </w:rPr>
        <w:t>2019</w:t>
      </w:r>
      <w:r>
        <w:rPr>
          <w:rFonts w:hint="eastAsia" w:ascii="仿宋" w:hAnsi="仿宋" w:eastAsia="仿宋"/>
          <w:color w:val="000000"/>
          <w:sz w:val="32"/>
          <w:szCs w:val="32"/>
        </w:rPr>
        <w:t>年相比，财政拨款收、支总计各增加</w:t>
      </w:r>
      <w:r>
        <w:rPr>
          <w:rFonts w:hint="eastAsia" w:ascii="仿宋" w:hAnsi="仿宋" w:eastAsia="仿宋"/>
          <w:color w:val="000000"/>
          <w:sz w:val="32"/>
          <w:szCs w:val="32"/>
          <w:lang w:val="en-US" w:eastAsia="zh-CN"/>
        </w:rPr>
        <w:t>335.81</w:t>
      </w:r>
      <w:r>
        <w:rPr>
          <w:rFonts w:hint="eastAsia" w:ascii="仿宋" w:hAnsi="仿宋" w:eastAsia="仿宋"/>
          <w:color w:val="000000"/>
          <w:sz w:val="32"/>
          <w:szCs w:val="32"/>
        </w:rPr>
        <w:t>万元，增长</w:t>
      </w:r>
      <w:r>
        <w:rPr>
          <w:rFonts w:hint="eastAsia" w:ascii="仿宋" w:hAnsi="仿宋" w:eastAsia="仿宋"/>
          <w:color w:val="000000"/>
          <w:sz w:val="32"/>
          <w:szCs w:val="32"/>
          <w:lang w:val="en-US" w:eastAsia="zh-CN"/>
        </w:rPr>
        <w:t>8.07</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color w:val="000000"/>
          <w:sz w:val="32"/>
          <w:szCs w:val="32"/>
          <w:lang w:val="en-US" w:eastAsia="zh-CN"/>
        </w:rPr>
        <w:t>年初财政拨款结转和结余增加。</w:t>
      </w:r>
    </w:p>
    <w:p>
      <w:pPr>
        <w:pageBreakBefore w:val="0"/>
        <w:kinsoku/>
        <w:wordWrap/>
        <w:overflowPunct/>
        <w:topLinePunct w:val="0"/>
        <w:bidi w:val="0"/>
        <w:spacing w:line="480" w:lineRule="exact"/>
        <w:ind w:firstLine="640"/>
        <w:rPr>
          <w:rFonts w:hint="eastAsia" w:ascii="仿宋" w:hAnsi="仿宋" w:eastAsia="仿宋"/>
          <w:color w:val="000000"/>
          <w:sz w:val="32"/>
          <w:szCs w:val="32"/>
          <w:lang w:val="en-US" w:eastAsia="zh-CN"/>
        </w:rPr>
      </w:pPr>
      <w:r>
        <w:drawing>
          <wp:anchor distT="0" distB="0" distL="114300" distR="114300" simplePos="0" relativeHeight="251662336" behindDoc="0" locked="0" layoutInCell="1" allowOverlap="1">
            <wp:simplePos x="0" y="0"/>
            <wp:positionH relativeFrom="column">
              <wp:posOffset>471170</wp:posOffset>
            </wp:positionH>
            <wp:positionV relativeFrom="paragraph">
              <wp:posOffset>157480</wp:posOffset>
            </wp:positionV>
            <wp:extent cx="4201160" cy="2476500"/>
            <wp:effectExtent l="4445" t="5080" r="23495" b="13970"/>
            <wp:wrapSquare wrapText="bothSides"/>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pageBreakBefore w:val="0"/>
        <w:kinsoku/>
        <w:wordWrap/>
        <w:overflowPunct/>
        <w:topLinePunct w:val="0"/>
        <w:bidi w:val="0"/>
        <w:spacing w:line="480" w:lineRule="exact"/>
        <w:rPr>
          <w:rFonts w:ascii="仿宋" w:hAnsi="仿宋" w:eastAsia="仿宋"/>
          <w:color w:val="000000"/>
          <w:sz w:val="32"/>
          <w:szCs w:val="32"/>
        </w:rPr>
      </w:pPr>
    </w:p>
    <w:p>
      <w:pPr>
        <w:pageBreakBefore w:val="0"/>
        <w:kinsoku/>
        <w:wordWrap/>
        <w:overflowPunct/>
        <w:topLinePunct w:val="0"/>
        <w:bidi w:val="0"/>
        <w:spacing w:line="480" w:lineRule="exact"/>
        <w:rPr>
          <w:rFonts w:ascii="仿宋" w:hAnsi="仿宋" w:eastAsia="仿宋"/>
          <w:color w:val="000000"/>
          <w:sz w:val="32"/>
          <w:szCs w:val="32"/>
        </w:rPr>
      </w:pPr>
    </w:p>
    <w:p>
      <w:pPr>
        <w:pageBreakBefore w:val="0"/>
        <w:kinsoku/>
        <w:wordWrap/>
        <w:overflowPunct/>
        <w:topLinePunct w:val="0"/>
        <w:bidi w:val="0"/>
        <w:spacing w:line="480" w:lineRule="exact"/>
        <w:rPr>
          <w:rFonts w:ascii="仿宋" w:hAnsi="仿宋" w:eastAsia="仿宋"/>
          <w:color w:val="000000"/>
          <w:sz w:val="32"/>
          <w:szCs w:val="32"/>
        </w:rPr>
      </w:pPr>
    </w:p>
    <w:p>
      <w:pPr>
        <w:pageBreakBefore w:val="0"/>
        <w:kinsoku/>
        <w:wordWrap/>
        <w:overflowPunct/>
        <w:topLinePunct w:val="0"/>
        <w:bidi w:val="0"/>
        <w:spacing w:line="480" w:lineRule="exact"/>
        <w:rPr>
          <w:rFonts w:ascii="仿宋" w:hAnsi="仿宋" w:eastAsia="仿宋"/>
          <w:color w:val="000000"/>
          <w:sz w:val="32"/>
          <w:szCs w:val="32"/>
        </w:rPr>
      </w:pPr>
    </w:p>
    <w:p>
      <w:pPr>
        <w:pageBreakBefore w:val="0"/>
        <w:kinsoku/>
        <w:wordWrap/>
        <w:overflowPunct/>
        <w:topLinePunct w:val="0"/>
        <w:bidi w:val="0"/>
        <w:spacing w:line="480" w:lineRule="exact"/>
        <w:rPr>
          <w:rFonts w:hint="eastAsia" w:ascii="仿宋" w:hAnsi="仿宋" w:eastAsia="仿宋"/>
          <w:color w:val="000000"/>
          <w:sz w:val="32"/>
          <w:szCs w:val="32"/>
        </w:rPr>
      </w:pPr>
    </w:p>
    <w:p>
      <w:pPr>
        <w:pageBreakBefore w:val="0"/>
        <w:kinsoku/>
        <w:wordWrap/>
        <w:overflowPunct/>
        <w:topLinePunct w:val="0"/>
        <w:bidi w:val="0"/>
        <w:spacing w:line="480" w:lineRule="exact"/>
        <w:rPr>
          <w:rFonts w:hint="eastAsia" w:ascii="仿宋" w:hAnsi="仿宋" w:eastAsia="仿宋"/>
          <w:color w:val="000000"/>
          <w:sz w:val="32"/>
          <w:szCs w:val="32"/>
        </w:rPr>
      </w:pPr>
    </w:p>
    <w:p>
      <w:pPr>
        <w:pageBreakBefore w:val="0"/>
        <w:kinsoku/>
        <w:wordWrap/>
        <w:overflowPunct/>
        <w:topLinePunct w:val="0"/>
        <w:bidi w:val="0"/>
        <w:spacing w:line="480" w:lineRule="exact"/>
        <w:ind w:firstLine="960" w:firstLineChars="300"/>
        <w:rPr>
          <w:rFonts w:ascii="仿宋" w:hAnsi="仿宋" w:eastAsia="仿宋"/>
          <w:b/>
          <w:color w:val="00B050"/>
          <w:sz w:val="32"/>
          <w:szCs w:val="32"/>
        </w:rPr>
      </w:pPr>
      <w:r>
        <w:rPr>
          <w:rFonts w:hint="eastAsia" w:ascii="仿宋" w:hAnsi="仿宋" w:eastAsia="仿宋"/>
          <w:color w:val="000000"/>
          <w:sz w:val="32"/>
          <w:szCs w:val="32"/>
        </w:rPr>
        <w:t>（图</w:t>
      </w:r>
      <w:r>
        <w:rPr>
          <w:rFonts w:ascii="仿宋" w:hAnsi="仿宋" w:eastAsia="仿宋"/>
          <w:color w:val="000000"/>
          <w:sz w:val="32"/>
          <w:szCs w:val="32"/>
        </w:rPr>
        <w:t>4</w:t>
      </w:r>
      <w:r>
        <w:rPr>
          <w:rFonts w:hint="eastAsia" w:ascii="仿宋" w:hAnsi="仿宋" w:eastAsia="仿宋"/>
          <w:color w:val="000000"/>
          <w:sz w:val="32"/>
          <w:szCs w:val="32"/>
        </w:rPr>
        <w:t>：财政拨款收、支决算总计变动情况）</w:t>
      </w:r>
    </w:p>
    <w:p>
      <w:pPr>
        <w:pageBreakBefore w:val="0"/>
        <w:kinsoku/>
        <w:wordWrap/>
        <w:overflowPunct/>
        <w:topLinePunct w:val="0"/>
        <w:bidi w:val="0"/>
        <w:spacing w:line="480" w:lineRule="exact"/>
        <w:ind w:firstLine="640" w:firstLineChars="200"/>
        <w:outlineLvl w:val="1"/>
        <w:rPr>
          <w:rStyle w:val="24"/>
          <w:rFonts w:ascii="黑体" w:hAnsi="黑体" w:eastAsia="黑体"/>
          <w:b w:val="0"/>
        </w:rPr>
      </w:pPr>
      <w:bookmarkStart w:id="52" w:name="_Toc79163614"/>
      <w:bookmarkStart w:id="53" w:name="_Toc15377209"/>
      <w:bookmarkStart w:id="54" w:name="_Toc79163864"/>
      <w:bookmarkStart w:id="55" w:name="_Toc15396607"/>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4"/>
          <w:rFonts w:hint="eastAsia" w:ascii="黑体" w:hAnsi="黑体" w:eastAsia="黑体"/>
          <w:b w:val="0"/>
        </w:rPr>
        <w:t>般公共预算财政拨款支出决算情况说明</w:t>
      </w:r>
      <w:bookmarkEnd w:id="52"/>
      <w:bookmarkEnd w:id="53"/>
      <w:bookmarkEnd w:id="54"/>
      <w:bookmarkEnd w:id="55"/>
    </w:p>
    <w:p>
      <w:pPr>
        <w:pageBreakBefore w:val="0"/>
        <w:kinsoku/>
        <w:wordWrap/>
        <w:overflowPunct/>
        <w:topLinePunct w:val="0"/>
        <w:bidi w:val="0"/>
        <w:spacing w:line="480" w:lineRule="exact"/>
        <w:ind w:firstLine="643" w:firstLineChars="200"/>
        <w:outlineLvl w:val="2"/>
        <w:rPr>
          <w:rFonts w:ascii="仿宋" w:hAnsi="仿宋" w:eastAsia="仿宋"/>
          <w:b/>
          <w:color w:val="000000"/>
          <w:sz w:val="32"/>
          <w:szCs w:val="32"/>
        </w:rPr>
      </w:pPr>
      <w:bookmarkStart w:id="56" w:name="_Toc79163615"/>
      <w:bookmarkStart w:id="57" w:name="_Toc15377210"/>
      <w:bookmarkStart w:id="58" w:name="_Toc79163865"/>
      <w:r>
        <w:rPr>
          <w:rFonts w:hint="eastAsia" w:ascii="仿宋" w:hAnsi="仿宋" w:eastAsia="仿宋"/>
          <w:b/>
          <w:color w:val="000000"/>
          <w:sz w:val="32"/>
          <w:szCs w:val="32"/>
        </w:rPr>
        <w:t>（一）一般公共预算财政拨款支出决算总体情况</w:t>
      </w:r>
      <w:bookmarkEnd w:id="56"/>
      <w:bookmarkEnd w:id="57"/>
      <w:bookmarkEnd w:id="58"/>
    </w:p>
    <w:p>
      <w:pPr>
        <w:pageBreakBefore w:val="0"/>
        <w:kinsoku/>
        <w:wordWrap/>
        <w:overflowPunct/>
        <w:topLinePunct w:val="0"/>
        <w:bidi w:val="0"/>
        <w:spacing w:line="480" w:lineRule="exact"/>
        <w:ind w:firstLine="640" w:firstLineChars="200"/>
        <w:rPr>
          <w:rFonts w:hint="eastAsia"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年一般公共预算财政拨款支出</w:t>
      </w:r>
      <w:r>
        <w:rPr>
          <w:rFonts w:hint="eastAsia" w:ascii="仿宋" w:hAnsi="仿宋" w:eastAsia="仿宋"/>
          <w:color w:val="000000"/>
          <w:sz w:val="32"/>
          <w:szCs w:val="32"/>
          <w:lang w:val="en-US" w:eastAsia="zh-CN"/>
        </w:rPr>
        <w:t>3799.61</w:t>
      </w:r>
      <w:r>
        <w:rPr>
          <w:rFonts w:hint="eastAsia" w:ascii="仿宋" w:hAnsi="仿宋" w:eastAsia="仿宋"/>
          <w:color w:val="000000"/>
          <w:sz w:val="32"/>
          <w:szCs w:val="32"/>
        </w:rPr>
        <w:t>万元，占本年支出合计的</w:t>
      </w:r>
      <w:r>
        <w:rPr>
          <w:rFonts w:hint="eastAsia" w:ascii="仿宋" w:hAnsi="仿宋" w:eastAsia="仿宋"/>
          <w:color w:val="000000"/>
          <w:sz w:val="32"/>
          <w:szCs w:val="32"/>
          <w:lang w:val="en-US" w:eastAsia="zh-CN"/>
        </w:rPr>
        <w:t>100</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2019</w:t>
      </w:r>
      <w:r>
        <w:rPr>
          <w:rFonts w:hint="eastAsia" w:ascii="仿宋" w:hAnsi="仿宋" w:eastAsia="仿宋"/>
          <w:color w:val="000000"/>
          <w:sz w:val="32"/>
          <w:szCs w:val="32"/>
        </w:rPr>
        <w:t>年相比，一般公共预算财政拨款增加</w:t>
      </w:r>
      <w:r>
        <w:rPr>
          <w:rFonts w:hint="eastAsia" w:ascii="仿宋" w:hAnsi="仿宋" w:eastAsia="仿宋"/>
          <w:color w:val="000000"/>
          <w:sz w:val="32"/>
          <w:szCs w:val="32"/>
          <w:lang w:val="en-US" w:eastAsia="zh-CN"/>
        </w:rPr>
        <w:t>36.32</w:t>
      </w:r>
      <w:r>
        <w:rPr>
          <w:rFonts w:hint="eastAsia" w:ascii="仿宋" w:hAnsi="仿宋" w:eastAsia="仿宋"/>
          <w:color w:val="000000"/>
          <w:sz w:val="32"/>
          <w:szCs w:val="32"/>
        </w:rPr>
        <w:t>万元，增长</w:t>
      </w:r>
      <w:r>
        <w:rPr>
          <w:rFonts w:hint="eastAsia" w:ascii="仿宋" w:hAnsi="仿宋" w:eastAsia="仿宋"/>
          <w:color w:val="000000"/>
          <w:sz w:val="32"/>
          <w:szCs w:val="32"/>
          <w:lang w:val="en-US" w:eastAsia="zh-CN"/>
        </w:rPr>
        <w:t>0.96</w:t>
      </w:r>
      <w:r>
        <w:rPr>
          <w:rFonts w:ascii="仿宋" w:hAnsi="仿宋" w:eastAsia="仿宋"/>
          <w:color w:val="000000"/>
          <w:sz w:val="32"/>
          <w:szCs w:val="32"/>
        </w:rPr>
        <w:t>%</w:t>
      </w:r>
      <w:r>
        <w:rPr>
          <w:rFonts w:hint="eastAsia" w:ascii="仿宋" w:hAnsi="仿宋" w:eastAsia="仿宋"/>
          <w:color w:val="000000"/>
          <w:sz w:val="32"/>
          <w:szCs w:val="32"/>
        </w:rPr>
        <w:t>。</w:t>
      </w:r>
    </w:p>
    <w:p>
      <w:pPr>
        <w:pageBreakBefore w:val="0"/>
        <w:kinsoku/>
        <w:wordWrap/>
        <w:overflowPunct/>
        <w:topLinePunct w:val="0"/>
        <w:bidi w:val="0"/>
        <w:spacing w:line="480" w:lineRule="exact"/>
        <w:ind w:firstLine="420" w:firstLineChars="200"/>
        <w:rPr>
          <w:rFonts w:hint="eastAsia" w:ascii="仿宋" w:hAnsi="仿宋" w:eastAsia="仿宋"/>
          <w:color w:val="000000"/>
          <w:sz w:val="32"/>
          <w:szCs w:val="32"/>
        </w:rPr>
      </w:pPr>
      <w:r>
        <w:drawing>
          <wp:anchor distT="0" distB="0" distL="114300" distR="114300" simplePos="0" relativeHeight="251663360" behindDoc="0" locked="0" layoutInCell="1" allowOverlap="1">
            <wp:simplePos x="0" y="0"/>
            <wp:positionH relativeFrom="column">
              <wp:posOffset>452120</wp:posOffset>
            </wp:positionH>
            <wp:positionV relativeFrom="paragraph">
              <wp:posOffset>4445</wp:posOffset>
            </wp:positionV>
            <wp:extent cx="4418965" cy="2200275"/>
            <wp:effectExtent l="4445" t="4445" r="15240" b="5080"/>
            <wp:wrapSquare wrapText="bothSides"/>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pageBreakBefore w:val="0"/>
        <w:kinsoku/>
        <w:wordWrap/>
        <w:overflowPunct/>
        <w:topLinePunct w:val="0"/>
        <w:bidi w:val="0"/>
        <w:spacing w:line="480" w:lineRule="exact"/>
        <w:ind w:firstLine="640" w:firstLineChars="200"/>
        <w:rPr>
          <w:rFonts w:hint="eastAsia" w:ascii="仿宋" w:hAnsi="仿宋" w:eastAsia="仿宋"/>
          <w:color w:val="000000"/>
          <w:sz w:val="32"/>
          <w:szCs w:val="32"/>
        </w:rPr>
      </w:pPr>
    </w:p>
    <w:p>
      <w:pPr>
        <w:pageBreakBefore w:val="0"/>
        <w:kinsoku/>
        <w:wordWrap/>
        <w:overflowPunct/>
        <w:topLinePunct w:val="0"/>
        <w:bidi w:val="0"/>
        <w:spacing w:line="480" w:lineRule="exact"/>
        <w:ind w:firstLine="640" w:firstLineChars="200"/>
        <w:rPr>
          <w:rFonts w:hint="eastAsia" w:ascii="仿宋" w:hAnsi="仿宋" w:eastAsia="仿宋"/>
          <w:color w:val="000000"/>
          <w:sz w:val="32"/>
          <w:szCs w:val="32"/>
        </w:rPr>
      </w:pPr>
    </w:p>
    <w:p>
      <w:pPr>
        <w:pageBreakBefore w:val="0"/>
        <w:kinsoku/>
        <w:wordWrap/>
        <w:overflowPunct/>
        <w:topLinePunct w:val="0"/>
        <w:bidi w:val="0"/>
        <w:spacing w:line="480" w:lineRule="exact"/>
        <w:ind w:firstLine="640" w:firstLineChars="200"/>
        <w:rPr>
          <w:rFonts w:hint="eastAsia" w:ascii="仿宋" w:hAnsi="仿宋" w:eastAsia="仿宋"/>
          <w:color w:val="000000"/>
          <w:sz w:val="32"/>
          <w:szCs w:val="32"/>
        </w:rPr>
      </w:pPr>
    </w:p>
    <w:p>
      <w:pPr>
        <w:pageBreakBefore w:val="0"/>
        <w:kinsoku/>
        <w:wordWrap/>
        <w:overflowPunct/>
        <w:topLinePunct w:val="0"/>
        <w:bidi w:val="0"/>
        <w:spacing w:line="480" w:lineRule="exact"/>
        <w:ind w:firstLine="640" w:firstLineChars="200"/>
        <w:rPr>
          <w:rFonts w:hint="eastAsia" w:ascii="仿宋" w:hAnsi="仿宋" w:eastAsia="仿宋"/>
          <w:color w:val="000000"/>
          <w:sz w:val="32"/>
          <w:szCs w:val="32"/>
        </w:rPr>
      </w:pPr>
    </w:p>
    <w:p>
      <w:pPr>
        <w:pageBreakBefore w:val="0"/>
        <w:kinsoku/>
        <w:wordWrap/>
        <w:overflowPunct/>
        <w:topLinePunct w:val="0"/>
        <w:bidi w:val="0"/>
        <w:spacing w:line="480" w:lineRule="exact"/>
        <w:ind w:firstLine="640" w:firstLineChars="200"/>
        <w:rPr>
          <w:rFonts w:hint="eastAsia" w:ascii="仿宋" w:hAnsi="仿宋" w:eastAsia="仿宋"/>
          <w:color w:val="000000"/>
          <w:sz w:val="32"/>
          <w:szCs w:val="32"/>
        </w:rPr>
      </w:pPr>
    </w:p>
    <w:p>
      <w:pPr>
        <w:pageBreakBefore w:val="0"/>
        <w:kinsoku/>
        <w:wordWrap/>
        <w:overflowPunct/>
        <w:topLinePunct w:val="0"/>
        <w:bidi w:val="0"/>
        <w:spacing w:line="48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5</w:t>
      </w:r>
      <w:r>
        <w:rPr>
          <w:rFonts w:hint="eastAsia" w:ascii="仿宋" w:hAnsi="仿宋" w:eastAsia="仿宋"/>
          <w:color w:val="000000"/>
          <w:sz w:val="32"/>
          <w:szCs w:val="32"/>
        </w:rPr>
        <w:t>：一般公共预算财政拨款支出决算变动情况）</w:t>
      </w:r>
    </w:p>
    <w:p>
      <w:pPr>
        <w:pageBreakBefore w:val="0"/>
        <w:kinsoku/>
        <w:wordWrap/>
        <w:overflowPunct/>
        <w:topLinePunct w:val="0"/>
        <w:bidi w:val="0"/>
        <w:spacing w:line="480" w:lineRule="exact"/>
        <w:ind w:firstLine="643" w:firstLineChars="200"/>
        <w:outlineLvl w:val="2"/>
        <w:rPr>
          <w:rFonts w:ascii="仿宋" w:hAnsi="仿宋" w:eastAsia="仿宋"/>
          <w:b/>
          <w:color w:val="000000"/>
          <w:sz w:val="32"/>
          <w:szCs w:val="32"/>
        </w:rPr>
      </w:pPr>
      <w:bookmarkStart w:id="59" w:name="_Toc15377211"/>
      <w:bookmarkStart w:id="60" w:name="_Toc79163616"/>
      <w:bookmarkStart w:id="61" w:name="_Toc79163866"/>
      <w:r>
        <w:rPr>
          <w:rFonts w:hint="eastAsia" w:ascii="仿宋" w:hAnsi="仿宋" w:eastAsia="仿宋"/>
          <w:b/>
          <w:color w:val="000000"/>
          <w:sz w:val="32"/>
          <w:szCs w:val="32"/>
        </w:rPr>
        <w:t>（二）一般公共预算财政拨款支出决算结构情况</w:t>
      </w:r>
      <w:bookmarkEnd w:id="59"/>
      <w:bookmarkEnd w:id="60"/>
      <w:bookmarkEnd w:id="61"/>
    </w:p>
    <w:p>
      <w:pPr>
        <w:pageBreakBefore w:val="0"/>
        <w:kinsoku/>
        <w:wordWrap/>
        <w:overflowPunct/>
        <w:topLinePunct w:val="0"/>
        <w:bidi w:val="0"/>
        <w:spacing w:line="480" w:lineRule="exact"/>
        <w:ind w:firstLine="640"/>
        <w:rPr>
          <w:rFonts w:hint="eastAsia" w:ascii="仿宋" w:hAnsi="仿宋" w:eastAsia="仿宋"/>
          <w:color w:val="000000"/>
          <w:sz w:val="32"/>
          <w:szCs w:val="32"/>
          <w:lang w:eastAsia="zh-CN"/>
        </w:rPr>
      </w:pPr>
      <w:r>
        <w:rPr>
          <w:rFonts w:ascii="仿宋" w:hAnsi="仿宋" w:eastAsia="仿宋"/>
          <w:color w:val="000000"/>
          <w:sz w:val="32"/>
          <w:szCs w:val="32"/>
        </w:rPr>
        <w:t>2020</w:t>
      </w:r>
      <w:r>
        <w:rPr>
          <w:rFonts w:hint="eastAsia" w:ascii="仿宋" w:hAnsi="仿宋" w:eastAsia="仿宋"/>
          <w:color w:val="000000"/>
          <w:sz w:val="32"/>
          <w:szCs w:val="32"/>
        </w:rPr>
        <w:t>年一般公共预算财政拨款支出</w:t>
      </w:r>
      <w:r>
        <w:rPr>
          <w:rFonts w:hint="eastAsia" w:ascii="仿宋" w:hAnsi="仿宋" w:eastAsia="仿宋"/>
          <w:color w:val="000000"/>
          <w:sz w:val="32"/>
          <w:szCs w:val="32"/>
          <w:lang w:val="en-US" w:eastAsia="zh-CN"/>
        </w:rPr>
        <w:t>3799.61</w:t>
      </w:r>
      <w:r>
        <w:rPr>
          <w:rFonts w:hint="eastAsia" w:ascii="仿宋" w:hAnsi="仿宋" w:eastAsia="仿宋"/>
          <w:color w:val="000000"/>
          <w:sz w:val="32"/>
          <w:szCs w:val="32"/>
        </w:rPr>
        <w:t>万元，主要用于以下方面</w:t>
      </w:r>
      <w:r>
        <w:rPr>
          <w:rFonts w:ascii="仿宋" w:hAnsi="仿宋" w:eastAsia="仿宋"/>
          <w:color w:val="000000"/>
          <w:sz w:val="32"/>
          <w:szCs w:val="32"/>
        </w:rPr>
        <w:t>:</w:t>
      </w:r>
      <w:r>
        <w:rPr>
          <w:rFonts w:hint="eastAsia" w:ascii="仿宋" w:hAnsi="仿宋" w:eastAsia="仿宋"/>
          <w:b/>
          <w:color w:val="000000"/>
          <w:sz w:val="32"/>
          <w:szCs w:val="32"/>
          <w:lang w:val="en-US" w:eastAsia="zh-CN"/>
        </w:rPr>
        <w:t>科学技术</w:t>
      </w:r>
      <w:r>
        <w:rPr>
          <w:rFonts w:hint="eastAsia" w:ascii="仿宋" w:hAnsi="仿宋" w:eastAsia="仿宋"/>
          <w:b/>
          <w:color w:val="000000"/>
          <w:sz w:val="32"/>
          <w:szCs w:val="32"/>
        </w:rPr>
        <w:t>（类）</w:t>
      </w:r>
      <w:r>
        <w:rPr>
          <w:rFonts w:hint="eastAsia" w:ascii="仿宋" w:hAnsi="仿宋" w:eastAsia="仿宋"/>
          <w:color w:val="000000"/>
          <w:sz w:val="32"/>
          <w:szCs w:val="32"/>
        </w:rPr>
        <w:t>支出</w:t>
      </w:r>
      <w:r>
        <w:rPr>
          <w:rFonts w:hint="eastAsia" w:ascii="仿宋" w:hAnsi="仿宋" w:eastAsia="仿宋"/>
          <w:color w:val="000000"/>
          <w:sz w:val="32"/>
          <w:szCs w:val="32"/>
          <w:lang w:val="en-US" w:eastAsia="zh-CN"/>
        </w:rPr>
        <w:t>10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0.27</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color w:val="000000"/>
          <w:sz w:val="32"/>
          <w:szCs w:val="32"/>
          <w:lang w:val="en-US" w:eastAsia="zh-CN"/>
        </w:rPr>
        <w:t>文化旅游体育与传媒</w:t>
      </w:r>
      <w:r>
        <w:rPr>
          <w:rFonts w:hint="eastAsia" w:ascii="仿宋" w:hAnsi="仿宋" w:eastAsia="仿宋"/>
          <w:b/>
          <w:color w:val="000000"/>
          <w:sz w:val="32"/>
          <w:szCs w:val="32"/>
        </w:rPr>
        <w:t>（类）</w:t>
      </w:r>
      <w:r>
        <w:rPr>
          <w:rFonts w:hint="eastAsia" w:ascii="仿宋" w:hAnsi="仿宋" w:eastAsia="仿宋"/>
          <w:color w:val="000000"/>
          <w:sz w:val="32"/>
          <w:szCs w:val="32"/>
        </w:rPr>
        <w:t>支出</w:t>
      </w:r>
      <w:r>
        <w:rPr>
          <w:rFonts w:hint="eastAsia" w:ascii="仿宋" w:hAnsi="仿宋" w:eastAsia="仿宋"/>
          <w:color w:val="000000"/>
          <w:sz w:val="32"/>
          <w:szCs w:val="32"/>
          <w:lang w:val="en-US" w:eastAsia="zh-CN"/>
        </w:rPr>
        <w:t>3430.83</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90.29</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color w:val="000000"/>
          <w:sz w:val="32"/>
          <w:szCs w:val="32"/>
        </w:rPr>
        <w:t>社会保障和就业（类）</w:t>
      </w:r>
      <w:r>
        <w:rPr>
          <w:rFonts w:hint="eastAsia" w:ascii="仿宋" w:hAnsi="仿宋" w:eastAsia="仿宋"/>
          <w:color w:val="000000"/>
          <w:sz w:val="32"/>
          <w:szCs w:val="32"/>
        </w:rPr>
        <w:t>支出</w:t>
      </w:r>
      <w:r>
        <w:rPr>
          <w:rFonts w:hint="eastAsia" w:ascii="仿宋" w:hAnsi="仿宋" w:eastAsia="仿宋"/>
          <w:color w:val="000000"/>
          <w:sz w:val="32"/>
          <w:szCs w:val="32"/>
          <w:lang w:val="en-US" w:eastAsia="zh-CN"/>
        </w:rPr>
        <w:t>164.43</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4.33</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bCs/>
          <w:color w:val="000000"/>
          <w:sz w:val="32"/>
          <w:szCs w:val="32"/>
        </w:rPr>
        <w:t>卫生健康</w:t>
      </w:r>
      <w:r>
        <w:rPr>
          <w:rFonts w:hint="eastAsia" w:ascii="仿宋" w:hAnsi="仿宋" w:eastAsia="仿宋"/>
          <w:b/>
          <w:bCs/>
          <w:color w:val="000000"/>
          <w:sz w:val="32"/>
          <w:szCs w:val="32"/>
          <w:lang w:eastAsia="zh-CN"/>
        </w:rPr>
        <w:t>（</w:t>
      </w:r>
      <w:r>
        <w:rPr>
          <w:rFonts w:hint="eastAsia" w:ascii="仿宋" w:hAnsi="仿宋" w:eastAsia="仿宋"/>
          <w:b/>
          <w:bCs/>
          <w:color w:val="000000"/>
          <w:sz w:val="32"/>
          <w:szCs w:val="32"/>
          <w:lang w:val="en-US" w:eastAsia="zh-CN"/>
        </w:rPr>
        <w:t>类</w:t>
      </w:r>
      <w:r>
        <w:rPr>
          <w:rFonts w:hint="eastAsia" w:ascii="仿宋" w:hAnsi="仿宋" w:eastAsia="仿宋"/>
          <w:b/>
          <w:bCs/>
          <w:color w:val="000000"/>
          <w:sz w:val="32"/>
          <w:szCs w:val="32"/>
          <w:lang w:eastAsia="zh-CN"/>
        </w:rPr>
        <w:t>）</w:t>
      </w:r>
      <w:r>
        <w:rPr>
          <w:rFonts w:hint="eastAsia" w:ascii="仿宋" w:hAnsi="仿宋" w:eastAsia="仿宋"/>
          <w:color w:val="000000"/>
          <w:sz w:val="32"/>
          <w:szCs w:val="32"/>
        </w:rPr>
        <w:t>支出</w:t>
      </w:r>
      <w:r>
        <w:rPr>
          <w:rFonts w:hint="eastAsia" w:ascii="仿宋" w:hAnsi="仿宋" w:eastAsia="仿宋"/>
          <w:color w:val="000000"/>
          <w:sz w:val="32"/>
          <w:szCs w:val="32"/>
          <w:lang w:val="en-US" w:eastAsia="zh-CN"/>
        </w:rPr>
        <w:t>80.24</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2.11</w:t>
      </w:r>
      <w:r>
        <w:rPr>
          <w:rFonts w:ascii="仿宋" w:hAnsi="仿宋" w:eastAsia="仿宋"/>
          <w:color w:val="000000"/>
          <w:sz w:val="32"/>
          <w:szCs w:val="32"/>
        </w:rPr>
        <w:t>%</w:t>
      </w:r>
      <w:r>
        <w:rPr>
          <w:rFonts w:hint="eastAsia" w:ascii="仿宋" w:hAnsi="仿宋" w:eastAsia="仿宋"/>
          <w:color w:val="000000"/>
          <w:sz w:val="32"/>
          <w:szCs w:val="32"/>
        </w:rPr>
        <w:t>；住房保障支出</w:t>
      </w:r>
      <w:r>
        <w:rPr>
          <w:rFonts w:hint="eastAsia" w:ascii="仿宋" w:hAnsi="仿宋" w:eastAsia="仿宋"/>
          <w:color w:val="000000"/>
          <w:sz w:val="32"/>
          <w:szCs w:val="32"/>
          <w:lang w:val="en-US" w:eastAsia="zh-CN"/>
        </w:rPr>
        <w:t>114.11</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3.00</w:t>
      </w:r>
      <w:r>
        <w:rPr>
          <w:rFonts w:ascii="仿宋" w:hAnsi="仿宋" w:eastAsia="仿宋"/>
          <w:color w:val="000000"/>
          <w:sz w:val="32"/>
          <w:szCs w:val="32"/>
        </w:rPr>
        <w:t>%</w:t>
      </w:r>
      <w:r>
        <w:rPr>
          <w:rFonts w:hint="eastAsia" w:ascii="仿宋" w:hAnsi="仿宋" w:eastAsia="仿宋"/>
          <w:color w:val="000000"/>
          <w:sz w:val="32"/>
          <w:szCs w:val="32"/>
          <w:lang w:eastAsia="zh-CN"/>
        </w:rPr>
        <w:t>。</w:t>
      </w:r>
    </w:p>
    <w:p>
      <w:pPr>
        <w:pageBreakBefore w:val="0"/>
        <w:kinsoku/>
        <w:wordWrap/>
        <w:overflowPunct/>
        <w:topLinePunct w:val="0"/>
        <w:bidi w:val="0"/>
        <w:spacing w:line="480" w:lineRule="exact"/>
        <w:ind w:firstLine="640"/>
        <w:rPr>
          <w:rFonts w:hint="eastAsia" w:ascii="仿宋" w:hAnsi="仿宋" w:eastAsia="仿宋"/>
          <w:color w:val="000000"/>
          <w:sz w:val="32"/>
          <w:szCs w:val="32"/>
          <w:lang w:eastAsia="zh-CN"/>
        </w:rPr>
      </w:pPr>
      <w:r>
        <w:drawing>
          <wp:anchor distT="0" distB="0" distL="114300" distR="114300" simplePos="0" relativeHeight="251664384" behindDoc="0" locked="0" layoutInCell="1" allowOverlap="1">
            <wp:simplePos x="0" y="0"/>
            <wp:positionH relativeFrom="column">
              <wp:posOffset>623570</wp:posOffset>
            </wp:positionH>
            <wp:positionV relativeFrom="paragraph">
              <wp:posOffset>71755</wp:posOffset>
            </wp:positionV>
            <wp:extent cx="4171315" cy="2526030"/>
            <wp:effectExtent l="4445" t="5080" r="15240" b="21590"/>
            <wp:wrapSquare wrapText="bothSides"/>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pageBreakBefore w:val="0"/>
        <w:kinsoku/>
        <w:wordWrap/>
        <w:overflowPunct/>
        <w:topLinePunct w:val="0"/>
        <w:bidi w:val="0"/>
        <w:spacing w:line="480" w:lineRule="exact"/>
        <w:ind w:firstLine="640"/>
        <w:rPr>
          <w:rFonts w:hint="eastAsia" w:ascii="仿宋" w:hAnsi="仿宋" w:eastAsia="仿宋"/>
          <w:color w:val="000000"/>
          <w:sz w:val="32"/>
          <w:szCs w:val="32"/>
          <w:lang w:eastAsia="zh-CN"/>
        </w:rPr>
      </w:pPr>
    </w:p>
    <w:p>
      <w:pPr>
        <w:pageBreakBefore w:val="0"/>
        <w:kinsoku/>
        <w:wordWrap/>
        <w:overflowPunct/>
        <w:topLinePunct w:val="0"/>
        <w:bidi w:val="0"/>
        <w:spacing w:line="480" w:lineRule="exact"/>
        <w:ind w:firstLine="640"/>
        <w:rPr>
          <w:rFonts w:hint="eastAsia" w:ascii="仿宋" w:hAnsi="仿宋" w:eastAsia="仿宋"/>
          <w:color w:val="000000"/>
          <w:sz w:val="32"/>
          <w:szCs w:val="32"/>
          <w:lang w:eastAsia="zh-CN"/>
        </w:rPr>
      </w:pPr>
    </w:p>
    <w:p>
      <w:pPr>
        <w:pageBreakBefore w:val="0"/>
        <w:kinsoku/>
        <w:wordWrap/>
        <w:overflowPunct/>
        <w:topLinePunct w:val="0"/>
        <w:bidi w:val="0"/>
        <w:spacing w:line="480" w:lineRule="exact"/>
        <w:ind w:firstLine="640"/>
        <w:rPr>
          <w:rFonts w:hint="eastAsia" w:ascii="仿宋" w:hAnsi="仿宋" w:eastAsia="仿宋"/>
          <w:color w:val="000000"/>
          <w:sz w:val="32"/>
          <w:szCs w:val="32"/>
          <w:lang w:eastAsia="zh-CN"/>
        </w:rPr>
      </w:pPr>
    </w:p>
    <w:p>
      <w:pPr>
        <w:pageBreakBefore w:val="0"/>
        <w:kinsoku/>
        <w:wordWrap/>
        <w:overflowPunct/>
        <w:topLinePunct w:val="0"/>
        <w:bidi w:val="0"/>
        <w:spacing w:line="480" w:lineRule="exact"/>
        <w:ind w:firstLine="640"/>
        <w:rPr>
          <w:rFonts w:hint="eastAsia" w:ascii="仿宋" w:hAnsi="仿宋" w:eastAsia="仿宋"/>
          <w:color w:val="000000"/>
          <w:sz w:val="32"/>
          <w:szCs w:val="32"/>
          <w:lang w:eastAsia="zh-CN"/>
        </w:rPr>
      </w:pPr>
    </w:p>
    <w:p>
      <w:pPr>
        <w:pageBreakBefore w:val="0"/>
        <w:kinsoku/>
        <w:wordWrap/>
        <w:overflowPunct/>
        <w:topLinePunct w:val="0"/>
        <w:bidi w:val="0"/>
        <w:spacing w:line="480" w:lineRule="exact"/>
        <w:ind w:firstLine="640"/>
        <w:rPr>
          <w:rFonts w:hint="eastAsia" w:ascii="仿宋" w:hAnsi="仿宋" w:eastAsia="仿宋"/>
          <w:color w:val="000000"/>
          <w:sz w:val="32"/>
          <w:szCs w:val="32"/>
          <w:lang w:eastAsia="zh-CN"/>
        </w:rPr>
      </w:pPr>
    </w:p>
    <w:p>
      <w:pPr>
        <w:pageBreakBefore w:val="0"/>
        <w:kinsoku/>
        <w:wordWrap/>
        <w:overflowPunct/>
        <w:topLinePunct w:val="0"/>
        <w:bidi w:val="0"/>
        <w:spacing w:line="480" w:lineRule="exact"/>
        <w:ind w:firstLine="960" w:firstLineChars="3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6</w:t>
      </w:r>
      <w:r>
        <w:rPr>
          <w:rFonts w:hint="eastAsia" w:ascii="仿宋" w:hAnsi="仿宋" w:eastAsia="仿宋"/>
          <w:color w:val="000000"/>
          <w:sz w:val="32"/>
          <w:szCs w:val="32"/>
        </w:rPr>
        <w:t>：一般公共预算财政拨款支出决算结构）</w:t>
      </w:r>
    </w:p>
    <w:p>
      <w:pPr>
        <w:pageBreakBefore w:val="0"/>
        <w:kinsoku/>
        <w:wordWrap/>
        <w:overflowPunct/>
        <w:topLinePunct w:val="0"/>
        <w:bidi w:val="0"/>
        <w:spacing w:line="480" w:lineRule="exact"/>
        <w:ind w:firstLine="643" w:firstLineChars="200"/>
        <w:outlineLvl w:val="2"/>
        <w:rPr>
          <w:rFonts w:ascii="仿宋" w:hAnsi="仿宋" w:eastAsia="仿宋"/>
          <w:b/>
          <w:color w:val="000000"/>
          <w:sz w:val="32"/>
          <w:szCs w:val="32"/>
        </w:rPr>
      </w:pPr>
      <w:bookmarkStart w:id="62" w:name="_Toc79163617"/>
      <w:bookmarkStart w:id="63" w:name="_Toc79163867"/>
      <w:bookmarkStart w:id="64" w:name="_Toc15377212"/>
      <w:r>
        <w:rPr>
          <w:rFonts w:hint="eastAsia" w:ascii="仿宋" w:hAnsi="仿宋" w:eastAsia="仿宋"/>
          <w:b/>
          <w:color w:val="000000"/>
          <w:sz w:val="32"/>
          <w:szCs w:val="32"/>
        </w:rPr>
        <w:t>（三）一般公共预算财政拨款支出决算具体情况</w:t>
      </w:r>
      <w:bookmarkEnd w:id="62"/>
      <w:bookmarkEnd w:id="63"/>
      <w:bookmarkEnd w:id="64"/>
    </w:p>
    <w:p>
      <w:pPr>
        <w:pageBreakBefore w:val="0"/>
        <w:kinsoku/>
        <w:wordWrap/>
        <w:overflowPunct/>
        <w:topLinePunct w:val="0"/>
        <w:bidi w:val="0"/>
        <w:spacing w:line="480" w:lineRule="exact"/>
        <w:ind w:firstLine="643" w:firstLineChars="200"/>
        <w:rPr>
          <w:rFonts w:ascii="仿宋_GB2312" w:eastAsia="仿宋_GB2312"/>
          <w:b/>
          <w:bCs/>
          <w:sz w:val="32"/>
          <w:szCs w:val="32"/>
        </w:rPr>
      </w:pPr>
      <w:bookmarkStart w:id="65" w:name="_Toc15377213"/>
      <w:bookmarkStart w:id="66" w:name="_Toc15377444"/>
      <w:bookmarkStart w:id="67" w:name="_Toc15378460"/>
      <w:r>
        <w:rPr>
          <w:rFonts w:ascii="仿宋_GB2312" w:eastAsia="仿宋_GB2312"/>
          <w:b/>
          <w:bCs/>
          <w:sz w:val="32"/>
          <w:szCs w:val="32"/>
        </w:rPr>
        <w:t>2020</w:t>
      </w:r>
      <w:r>
        <w:rPr>
          <w:rFonts w:hint="eastAsia" w:ascii="仿宋_GB2312" w:eastAsia="仿宋_GB2312"/>
          <w:b/>
          <w:bCs/>
          <w:sz w:val="32"/>
          <w:szCs w:val="32"/>
        </w:rPr>
        <w:t>年一般公共预算支出决算数为</w:t>
      </w:r>
      <w:r>
        <w:rPr>
          <w:rFonts w:hint="eastAsia" w:ascii="仿宋_GB2312" w:eastAsia="仿宋_GB2312"/>
          <w:b/>
          <w:bCs/>
          <w:sz w:val="32"/>
          <w:szCs w:val="32"/>
          <w:lang w:val="en-US" w:eastAsia="zh-CN"/>
        </w:rPr>
        <w:t>3799.61万元</w:t>
      </w:r>
      <w:r>
        <w:rPr>
          <w:rFonts w:hint="eastAsia" w:ascii="仿宋_GB2312" w:eastAsia="仿宋_GB2312"/>
          <w:b/>
          <w:bCs/>
          <w:sz w:val="32"/>
          <w:szCs w:val="32"/>
        </w:rPr>
        <w:t>，完成预算</w:t>
      </w:r>
      <w:r>
        <w:rPr>
          <w:rFonts w:hint="eastAsia" w:ascii="仿宋_GB2312" w:eastAsia="仿宋_GB2312"/>
          <w:b/>
          <w:bCs/>
          <w:sz w:val="32"/>
          <w:szCs w:val="32"/>
          <w:lang w:val="en-US" w:eastAsia="zh-CN"/>
        </w:rPr>
        <w:t>100</w:t>
      </w:r>
      <w:r>
        <w:rPr>
          <w:rFonts w:ascii="仿宋_GB2312" w:eastAsia="仿宋_GB2312"/>
          <w:b/>
          <w:bCs/>
          <w:sz w:val="32"/>
          <w:szCs w:val="32"/>
        </w:rPr>
        <w:t>%</w:t>
      </w:r>
      <w:r>
        <w:rPr>
          <w:rFonts w:hint="eastAsia" w:ascii="仿宋_GB2312" w:eastAsia="仿宋_GB2312"/>
          <w:b/>
          <w:bCs/>
          <w:sz w:val="32"/>
          <w:szCs w:val="32"/>
        </w:rPr>
        <w:t>。其中：</w:t>
      </w:r>
      <w:bookmarkEnd w:id="65"/>
      <w:bookmarkEnd w:id="66"/>
      <w:bookmarkEnd w:id="67"/>
    </w:p>
    <w:p>
      <w:pPr>
        <w:pageBreakBefore w:val="0"/>
        <w:kinsoku/>
        <w:wordWrap/>
        <w:overflowPunct/>
        <w:topLinePunct w:val="0"/>
        <w:bidi w:val="0"/>
        <w:spacing w:line="480" w:lineRule="exact"/>
        <w:ind w:firstLine="643" w:firstLineChars="200"/>
        <w:rPr>
          <w:rFonts w:ascii="仿宋" w:hAnsi="仿宋" w:eastAsia="仿宋"/>
          <w:b/>
          <w:color w:val="000000"/>
          <w:sz w:val="32"/>
          <w:szCs w:val="32"/>
        </w:rPr>
      </w:pPr>
      <w:r>
        <w:rPr>
          <w:rStyle w:val="21"/>
          <w:rFonts w:hint="eastAsia" w:ascii="仿宋" w:hAnsi="仿宋" w:eastAsia="仿宋"/>
          <w:bCs/>
          <w:color w:val="000000"/>
          <w:sz w:val="32"/>
          <w:szCs w:val="32"/>
          <w:lang w:val="en-US" w:eastAsia="zh-CN"/>
        </w:rPr>
        <w:t>1</w:t>
      </w:r>
      <w:r>
        <w:rPr>
          <w:rStyle w:val="21"/>
          <w:rFonts w:ascii="仿宋" w:hAnsi="仿宋" w:eastAsia="仿宋"/>
          <w:bCs/>
          <w:color w:val="000000"/>
          <w:sz w:val="32"/>
          <w:szCs w:val="32"/>
        </w:rPr>
        <w:t>.</w:t>
      </w:r>
      <w:r>
        <w:rPr>
          <w:rStyle w:val="21"/>
          <w:rFonts w:hint="eastAsia" w:ascii="仿宋" w:hAnsi="仿宋" w:eastAsia="仿宋"/>
          <w:bCs/>
          <w:color w:val="000000"/>
          <w:sz w:val="32"/>
          <w:szCs w:val="32"/>
          <w:lang w:val="en-US" w:eastAsia="zh-CN"/>
        </w:rPr>
        <w:t>其他技术研究与开发支出2060499</w:t>
      </w:r>
      <w:r>
        <w:rPr>
          <w:rStyle w:val="21"/>
          <w:rFonts w:ascii="仿宋" w:hAnsi="仿宋" w:eastAsia="仿宋"/>
          <w:bCs/>
          <w:color w:val="000000"/>
          <w:sz w:val="32"/>
          <w:szCs w:val="32"/>
        </w:rPr>
        <w:t>:</w:t>
      </w:r>
      <w:r>
        <w:rPr>
          <w:rStyle w:val="21"/>
          <w:rFonts w:ascii="仿宋" w:hAnsi="仿宋" w:eastAsia="仿宋"/>
          <w:b w:val="0"/>
          <w:bCs/>
          <w:color w:val="000000"/>
          <w:sz w:val="32"/>
          <w:szCs w:val="32"/>
        </w:rPr>
        <w:t xml:space="preserve"> </w:t>
      </w:r>
      <w:r>
        <w:rPr>
          <w:rStyle w:val="21"/>
          <w:rFonts w:hint="eastAsia" w:ascii="仿宋" w:hAnsi="仿宋" w:eastAsia="仿宋"/>
          <w:b w:val="0"/>
          <w:bCs/>
          <w:color w:val="000000"/>
          <w:sz w:val="32"/>
          <w:szCs w:val="32"/>
        </w:rPr>
        <w:t>支出决算为</w:t>
      </w:r>
      <w:r>
        <w:rPr>
          <w:rStyle w:val="21"/>
          <w:rFonts w:hint="eastAsia" w:ascii="仿宋" w:hAnsi="仿宋" w:eastAsia="仿宋"/>
          <w:b w:val="0"/>
          <w:bCs/>
          <w:color w:val="000000"/>
          <w:sz w:val="32"/>
          <w:szCs w:val="32"/>
          <w:lang w:val="en-US" w:eastAsia="zh-CN"/>
        </w:rPr>
        <w:t>10</w:t>
      </w:r>
      <w:r>
        <w:rPr>
          <w:rStyle w:val="21"/>
          <w:rFonts w:hint="eastAsia" w:ascii="仿宋" w:hAnsi="仿宋" w:eastAsia="仿宋"/>
          <w:b w:val="0"/>
          <w:bCs/>
          <w:color w:val="000000"/>
          <w:sz w:val="32"/>
          <w:szCs w:val="32"/>
        </w:rPr>
        <w:t>万元，完成预算</w:t>
      </w:r>
      <w:r>
        <w:rPr>
          <w:rStyle w:val="21"/>
          <w:rFonts w:hint="eastAsia" w:ascii="仿宋" w:hAnsi="仿宋" w:eastAsia="仿宋"/>
          <w:b w:val="0"/>
          <w:bCs/>
          <w:color w:val="000000"/>
          <w:sz w:val="32"/>
          <w:szCs w:val="32"/>
          <w:lang w:val="en-US" w:eastAsia="zh-CN"/>
        </w:rPr>
        <w:t>100</w:t>
      </w:r>
      <w:r>
        <w:rPr>
          <w:rStyle w:val="21"/>
          <w:rFonts w:ascii="仿宋" w:hAnsi="仿宋" w:eastAsia="仿宋"/>
          <w:b w:val="0"/>
          <w:bCs/>
          <w:color w:val="000000"/>
          <w:sz w:val="32"/>
          <w:szCs w:val="32"/>
        </w:rPr>
        <w:t>%</w:t>
      </w:r>
      <w:r>
        <w:rPr>
          <w:rStyle w:val="21"/>
          <w:rFonts w:hint="eastAsia" w:ascii="仿宋" w:hAnsi="仿宋" w:eastAsia="仿宋"/>
          <w:b w:val="0"/>
          <w:bCs/>
          <w:color w:val="000000"/>
          <w:sz w:val="32"/>
          <w:szCs w:val="32"/>
          <w:lang w:eastAsia="zh-CN"/>
        </w:rPr>
        <w:t>，</w:t>
      </w:r>
      <w:r>
        <w:rPr>
          <w:rFonts w:hint="eastAsia" w:ascii="仿宋" w:hAnsi="仿宋" w:eastAsia="仿宋"/>
          <w:color w:val="000000"/>
          <w:sz w:val="32"/>
          <w:szCs w:val="32"/>
        </w:rPr>
        <w:t>决算数与预算数持平</w:t>
      </w:r>
      <w:r>
        <w:rPr>
          <w:rStyle w:val="21"/>
          <w:rFonts w:hint="eastAsia" w:ascii="仿宋" w:hAnsi="仿宋" w:eastAsia="仿宋"/>
          <w:b w:val="0"/>
          <w:bCs/>
          <w:color w:val="000000"/>
          <w:sz w:val="32"/>
          <w:szCs w:val="32"/>
        </w:rPr>
        <w:t>。</w:t>
      </w:r>
    </w:p>
    <w:p>
      <w:pPr>
        <w:pageBreakBefore w:val="0"/>
        <w:kinsoku/>
        <w:wordWrap/>
        <w:overflowPunct/>
        <w:topLinePunct w:val="0"/>
        <w:bidi w:val="0"/>
        <w:spacing w:line="480" w:lineRule="exact"/>
        <w:ind w:firstLine="643" w:firstLineChars="200"/>
        <w:rPr>
          <w:rFonts w:ascii="仿宋" w:hAnsi="仿宋" w:eastAsia="仿宋"/>
          <w:b/>
          <w:color w:val="000000"/>
          <w:sz w:val="32"/>
          <w:szCs w:val="32"/>
        </w:rPr>
      </w:pPr>
      <w:r>
        <w:rPr>
          <w:rStyle w:val="21"/>
          <w:rFonts w:hint="eastAsia" w:ascii="仿宋" w:hAnsi="仿宋" w:eastAsia="仿宋"/>
          <w:bCs/>
          <w:color w:val="000000"/>
          <w:sz w:val="32"/>
          <w:szCs w:val="32"/>
          <w:lang w:val="en-US" w:eastAsia="zh-CN"/>
        </w:rPr>
        <w:t>2</w:t>
      </w:r>
      <w:r>
        <w:rPr>
          <w:rStyle w:val="21"/>
          <w:rFonts w:ascii="仿宋" w:hAnsi="仿宋" w:eastAsia="仿宋"/>
          <w:bCs/>
          <w:color w:val="000000"/>
          <w:sz w:val="32"/>
          <w:szCs w:val="32"/>
        </w:rPr>
        <w:t>.</w:t>
      </w:r>
      <w:r>
        <w:rPr>
          <w:rStyle w:val="21"/>
          <w:rFonts w:hint="eastAsia" w:ascii="仿宋" w:hAnsi="仿宋" w:eastAsia="仿宋"/>
          <w:bCs/>
          <w:color w:val="000000"/>
          <w:sz w:val="32"/>
          <w:szCs w:val="32"/>
          <w:lang w:val="en-US" w:eastAsia="zh-CN"/>
        </w:rPr>
        <w:t>旅游宣传2070113</w:t>
      </w:r>
      <w:r>
        <w:rPr>
          <w:rStyle w:val="21"/>
          <w:rFonts w:ascii="仿宋" w:hAnsi="仿宋" w:eastAsia="仿宋"/>
          <w:bCs/>
          <w:color w:val="000000"/>
          <w:sz w:val="32"/>
          <w:szCs w:val="32"/>
        </w:rPr>
        <w:t>:</w:t>
      </w:r>
      <w:r>
        <w:rPr>
          <w:rStyle w:val="21"/>
          <w:rFonts w:ascii="仿宋" w:hAnsi="仿宋" w:eastAsia="仿宋"/>
          <w:b w:val="0"/>
          <w:bCs/>
          <w:color w:val="000000"/>
          <w:sz w:val="32"/>
          <w:szCs w:val="32"/>
        </w:rPr>
        <w:t xml:space="preserve"> </w:t>
      </w:r>
      <w:r>
        <w:rPr>
          <w:rStyle w:val="21"/>
          <w:rFonts w:hint="eastAsia" w:ascii="仿宋" w:hAnsi="仿宋" w:eastAsia="仿宋"/>
          <w:b w:val="0"/>
          <w:bCs/>
          <w:color w:val="000000"/>
          <w:sz w:val="32"/>
          <w:szCs w:val="32"/>
        </w:rPr>
        <w:t>支出决算为</w:t>
      </w:r>
      <w:r>
        <w:rPr>
          <w:rStyle w:val="21"/>
          <w:rFonts w:hint="eastAsia" w:ascii="仿宋" w:hAnsi="仿宋" w:eastAsia="仿宋"/>
          <w:b w:val="0"/>
          <w:bCs/>
          <w:color w:val="000000"/>
          <w:sz w:val="32"/>
          <w:szCs w:val="32"/>
          <w:lang w:val="en-US" w:eastAsia="zh-CN"/>
        </w:rPr>
        <w:t>319.94</w:t>
      </w:r>
      <w:r>
        <w:rPr>
          <w:rStyle w:val="21"/>
          <w:rFonts w:hint="eastAsia" w:ascii="仿宋" w:hAnsi="仿宋" w:eastAsia="仿宋"/>
          <w:b w:val="0"/>
          <w:bCs/>
          <w:color w:val="000000"/>
          <w:sz w:val="32"/>
          <w:szCs w:val="32"/>
        </w:rPr>
        <w:t>万元，完成预算</w:t>
      </w:r>
      <w:r>
        <w:rPr>
          <w:rStyle w:val="21"/>
          <w:rFonts w:hint="eastAsia" w:ascii="仿宋" w:hAnsi="仿宋" w:eastAsia="仿宋"/>
          <w:b w:val="0"/>
          <w:bCs/>
          <w:color w:val="000000"/>
          <w:sz w:val="32"/>
          <w:szCs w:val="32"/>
          <w:lang w:val="en-US" w:eastAsia="zh-CN"/>
        </w:rPr>
        <w:t>99.98</w:t>
      </w:r>
      <w:r>
        <w:rPr>
          <w:rStyle w:val="21"/>
          <w:rFonts w:ascii="仿宋" w:hAnsi="仿宋" w:eastAsia="仿宋"/>
          <w:b w:val="0"/>
          <w:bCs/>
          <w:color w:val="000000"/>
          <w:sz w:val="32"/>
          <w:szCs w:val="32"/>
        </w:rPr>
        <w:t>%</w:t>
      </w:r>
      <w:r>
        <w:rPr>
          <w:rStyle w:val="21"/>
          <w:rFonts w:hint="eastAsia" w:ascii="仿宋" w:hAnsi="仿宋" w:eastAsia="仿宋"/>
          <w:b w:val="0"/>
          <w:bCs/>
          <w:color w:val="000000"/>
          <w:sz w:val="32"/>
          <w:szCs w:val="32"/>
          <w:lang w:eastAsia="zh-CN"/>
        </w:rPr>
        <w:t>，</w:t>
      </w:r>
      <w:r>
        <w:rPr>
          <w:rFonts w:hint="eastAsia" w:ascii="仿宋" w:hAnsi="仿宋" w:eastAsia="仿宋"/>
          <w:color w:val="000000"/>
          <w:sz w:val="32"/>
          <w:szCs w:val="32"/>
        </w:rPr>
        <w:t>决算数与预算数持平</w:t>
      </w:r>
      <w:r>
        <w:rPr>
          <w:rStyle w:val="21"/>
          <w:rFonts w:hint="eastAsia" w:ascii="仿宋" w:hAnsi="仿宋" w:eastAsia="仿宋"/>
          <w:b w:val="0"/>
          <w:bCs/>
          <w:color w:val="000000"/>
          <w:sz w:val="32"/>
          <w:szCs w:val="32"/>
        </w:rPr>
        <w:t>。</w:t>
      </w:r>
    </w:p>
    <w:p>
      <w:pPr>
        <w:pageBreakBefore w:val="0"/>
        <w:kinsoku/>
        <w:wordWrap/>
        <w:overflowPunct/>
        <w:topLinePunct w:val="0"/>
        <w:bidi w:val="0"/>
        <w:spacing w:line="480" w:lineRule="exact"/>
        <w:ind w:firstLine="640" w:firstLineChars="200"/>
        <w:rPr>
          <w:rStyle w:val="21"/>
          <w:rFonts w:hint="eastAsia" w:ascii="仿宋" w:hAnsi="仿宋" w:eastAsia="仿宋"/>
          <w:b w:val="0"/>
          <w:bCs/>
          <w:color w:val="000000"/>
          <w:sz w:val="32"/>
          <w:szCs w:val="32"/>
        </w:rPr>
      </w:pPr>
      <w:r>
        <w:rPr>
          <w:rStyle w:val="21"/>
          <w:rFonts w:hint="eastAsia" w:ascii="仿宋" w:hAnsi="仿宋" w:eastAsia="仿宋"/>
          <w:b w:val="0"/>
          <w:bCs/>
          <w:color w:val="000000"/>
          <w:sz w:val="32"/>
          <w:szCs w:val="32"/>
        </w:rPr>
        <w:t>。</w:t>
      </w:r>
    </w:p>
    <w:p>
      <w:pPr>
        <w:pageBreakBefore w:val="0"/>
        <w:kinsoku/>
        <w:wordWrap/>
        <w:overflowPunct/>
        <w:topLinePunct w:val="0"/>
        <w:bidi w:val="0"/>
        <w:spacing w:line="480" w:lineRule="exact"/>
        <w:ind w:firstLine="643" w:firstLineChars="200"/>
        <w:rPr>
          <w:rStyle w:val="21"/>
          <w:rFonts w:hint="eastAsia" w:ascii="仿宋" w:hAnsi="仿宋" w:eastAsia="仿宋"/>
          <w:b w:val="0"/>
          <w:bCs/>
          <w:color w:val="000000"/>
          <w:sz w:val="32"/>
          <w:szCs w:val="32"/>
        </w:rPr>
      </w:pPr>
      <w:r>
        <w:rPr>
          <w:rStyle w:val="21"/>
          <w:rFonts w:hint="eastAsia" w:ascii="仿宋" w:hAnsi="仿宋" w:eastAsia="仿宋"/>
          <w:bCs/>
          <w:color w:val="000000"/>
          <w:sz w:val="32"/>
          <w:szCs w:val="32"/>
          <w:lang w:val="en-US" w:eastAsia="zh-CN"/>
        </w:rPr>
        <w:t>3</w:t>
      </w:r>
      <w:r>
        <w:rPr>
          <w:rStyle w:val="21"/>
          <w:rFonts w:ascii="仿宋" w:hAnsi="仿宋" w:eastAsia="仿宋"/>
          <w:bCs/>
          <w:color w:val="000000"/>
          <w:sz w:val="32"/>
          <w:szCs w:val="32"/>
        </w:rPr>
        <w:t>.</w:t>
      </w:r>
      <w:r>
        <w:rPr>
          <w:rStyle w:val="21"/>
          <w:rFonts w:hint="eastAsia" w:ascii="仿宋" w:hAnsi="仿宋" w:eastAsia="仿宋"/>
          <w:bCs/>
          <w:color w:val="000000"/>
          <w:sz w:val="32"/>
          <w:szCs w:val="32"/>
          <w:lang w:val="en-US" w:eastAsia="zh-CN"/>
        </w:rPr>
        <w:t>文化和旅游管理事务2070114</w:t>
      </w:r>
      <w:r>
        <w:rPr>
          <w:rStyle w:val="21"/>
          <w:rFonts w:ascii="仿宋" w:hAnsi="仿宋" w:eastAsia="仿宋"/>
          <w:bCs/>
          <w:color w:val="000000"/>
          <w:sz w:val="32"/>
          <w:szCs w:val="32"/>
        </w:rPr>
        <w:t>:</w:t>
      </w:r>
      <w:r>
        <w:rPr>
          <w:rStyle w:val="21"/>
          <w:rFonts w:ascii="仿宋" w:hAnsi="仿宋" w:eastAsia="仿宋"/>
          <w:b w:val="0"/>
          <w:bCs/>
          <w:color w:val="000000"/>
          <w:sz w:val="32"/>
          <w:szCs w:val="32"/>
        </w:rPr>
        <w:t xml:space="preserve"> </w:t>
      </w:r>
      <w:r>
        <w:rPr>
          <w:rStyle w:val="21"/>
          <w:rFonts w:hint="eastAsia" w:ascii="仿宋" w:hAnsi="仿宋" w:eastAsia="仿宋"/>
          <w:b w:val="0"/>
          <w:bCs/>
          <w:color w:val="000000"/>
          <w:sz w:val="32"/>
          <w:szCs w:val="32"/>
        </w:rPr>
        <w:t>支出决算为</w:t>
      </w:r>
      <w:r>
        <w:rPr>
          <w:rStyle w:val="21"/>
          <w:rFonts w:hint="eastAsia" w:ascii="仿宋" w:hAnsi="仿宋" w:eastAsia="仿宋"/>
          <w:b w:val="0"/>
          <w:bCs/>
          <w:color w:val="000000"/>
          <w:sz w:val="32"/>
          <w:szCs w:val="32"/>
          <w:lang w:val="en-US" w:eastAsia="zh-CN"/>
        </w:rPr>
        <w:t>2469.14</w:t>
      </w:r>
      <w:r>
        <w:rPr>
          <w:rStyle w:val="21"/>
          <w:rFonts w:hint="eastAsia" w:ascii="仿宋" w:hAnsi="仿宋" w:eastAsia="仿宋"/>
          <w:b w:val="0"/>
          <w:bCs/>
          <w:color w:val="000000"/>
          <w:sz w:val="32"/>
          <w:szCs w:val="32"/>
        </w:rPr>
        <w:t>万元，完成预算</w:t>
      </w:r>
      <w:r>
        <w:rPr>
          <w:rStyle w:val="21"/>
          <w:rFonts w:hint="eastAsia" w:ascii="仿宋" w:hAnsi="仿宋" w:eastAsia="仿宋"/>
          <w:b w:val="0"/>
          <w:bCs/>
          <w:color w:val="000000"/>
          <w:sz w:val="32"/>
          <w:szCs w:val="32"/>
          <w:lang w:val="en-US" w:eastAsia="zh-CN"/>
        </w:rPr>
        <w:t>100</w:t>
      </w:r>
      <w:r>
        <w:rPr>
          <w:rStyle w:val="21"/>
          <w:rFonts w:ascii="仿宋" w:hAnsi="仿宋" w:eastAsia="仿宋"/>
          <w:b w:val="0"/>
          <w:bCs/>
          <w:color w:val="000000"/>
          <w:sz w:val="32"/>
          <w:szCs w:val="32"/>
        </w:rPr>
        <w:t>%</w:t>
      </w:r>
      <w:r>
        <w:rPr>
          <w:rStyle w:val="21"/>
          <w:rFonts w:hint="eastAsia" w:ascii="仿宋" w:hAnsi="仿宋" w:eastAsia="仿宋"/>
          <w:b w:val="0"/>
          <w:bCs/>
          <w:color w:val="000000"/>
          <w:sz w:val="32"/>
          <w:szCs w:val="32"/>
          <w:lang w:eastAsia="zh-CN"/>
        </w:rPr>
        <w:t>，</w:t>
      </w:r>
      <w:r>
        <w:rPr>
          <w:rFonts w:hint="eastAsia" w:ascii="仿宋" w:hAnsi="仿宋" w:eastAsia="仿宋"/>
          <w:color w:val="000000"/>
          <w:sz w:val="32"/>
          <w:szCs w:val="32"/>
        </w:rPr>
        <w:t>决算数与预算数持平</w:t>
      </w:r>
      <w:r>
        <w:rPr>
          <w:rStyle w:val="21"/>
          <w:rFonts w:hint="eastAsia" w:ascii="仿宋" w:hAnsi="仿宋" w:eastAsia="仿宋"/>
          <w:b w:val="0"/>
          <w:bCs/>
          <w:color w:val="000000"/>
          <w:sz w:val="32"/>
          <w:szCs w:val="32"/>
        </w:rPr>
        <w:t>。</w:t>
      </w:r>
    </w:p>
    <w:p>
      <w:pPr>
        <w:pageBreakBefore w:val="0"/>
        <w:kinsoku/>
        <w:wordWrap/>
        <w:overflowPunct/>
        <w:topLinePunct w:val="0"/>
        <w:bidi w:val="0"/>
        <w:spacing w:line="480" w:lineRule="exact"/>
        <w:ind w:firstLine="643" w:firstLineChars="200"/>
        <w:rPr>
          <w:rStyle w:val="21"/>
          <w:rFonts w:hint="eastAsia" w:ascii="仿宋" w:hAnsi="仿宋" w:eastAsia="仿宋"/>
          <w:b w:val="0"/>
          <w:bCs/>
          <w:color w:val="000000"/>
          <w:sz w:val="32"/>
          <w:szCs w:val="32"/>
        </w:rPr>
      </w:pPr>
      <w:r>
        <w:rPr>
          <w:rStyle w:val="21"/>
          <w:rFonts w:hint="eastAsia" w:ascii="仿宋" w:hAnsi="仿宋" w:eastAsia="仿宋"/>
          <w:bCs/>
          <w:color w:val="000000"/>
          <w:sz w:val="32"/>
          <w:szCs w:val="32"/>
          <w:lang w:val="en-US" w:eastAsia="zh-CN"/>
        </w:rPr>
        <w:t>4</w:t>
      </w:r>
      <w:r>
        <w:rPr>
          <w:rStyle w:val="21"/>
          <w:rFonts w:ascii="仿宋" w:hAnsi="仿宋" w:eastAsia="仿宋"/>
          <w:bCs/>
          <w:color w:val="000000"/>
          <w:sz w:val="32"/>
          <w:szCs w:val="32"/>
        </w:rPr>
        <w:t>.</w:t>
      </w:r>
      <w:r>
        <w:rPr>
          <w:rStyle w:val="21"/>
          <w:rFonts w:hint="eastAsia" w:ascii="仿宋" w:hAnsi="仿宋" w:eastAsia="仿宋"/>
          <w:bCs/>
          <w:color w:val="000000"/>
          <w:sz w:val="32"/>
          <w:szCs w:val="32"/>
          <w:lang w:val="en-US" w:eastAsia="zh-CN"/>
        </w:rPr>
        <w:t>其他文化和旅游支出2070199</w:t>
      </w:r>
      <w:r>
        <w:rPr>
          <w:rStyle w:val="21"/>
          <w:rFonts w:ascii="仿宋" w:hAnsi="仿宋" w:eastAsia="仿宋"/>
          <w:bCs/>
          <w:color w:val="000000"/>
          <w:sz w:val="32"/>
          <w:szCs w:val="32"/>
        </w:rPr>
        <w:t>:</w:t>
      </w:r>
      <w:r>
        <w:rPr>
          <w:rStyle w:val="21"/>
          <w:rFonts w:ascii="仿宋" w:hAnsi="仿宋" w:eastAsia="仿宋"/>
          <w:b w:val="0"/>
          <w:bCs/>
          <w:color w:val="000000"/>
          <w:sz w:val="32"/>
          <w:szCs w:val="32"/>
        </w:rPr>
        <w:t xml:space="preserve"> </w:t>
      </w:r>
      <w:r>
        <w:rPr>
          <w:rStyle w:val="21"/>
          <w:rFonts w:hint="eastAsia" w:ascii="仿宋" w:hAnsi="仿宋" w:eastAsia="仿宋"/>
          <w:b w:val="0"/>
          <w:bCs/>
          <w:color w:val="000000"/>
          <w:sz w:val="32"/>
          <w:szCs w:val="32"/>
        </w:rPr>
        <w:t>支出决算为</w:t>
      </w:r>
      <w:r>
        <w:rPr>
          <w:rStyle w:val="21"/>
          <w:rFonts w:hint="eastAsia" w:ascii="仿宋" w:hAnsi="仿宋" w:eastAsia="仿宋"/>
          <w:b w:val="0"/>
          <w:bCs/>
          <w:color w:val="000000"/>
          <w:sz w:val="32"/>
          <w:szCs w:val="32"/>
          <w:lang w:val="en-US" w:eastAsia="zh-CN"/>
        </w:rPr>
        <w:t>641.75</w:t>
      </w:r>
      <w:r>
        <w:rPr>
          <w:rStyle w:val="21"/>
          <w:rFonts w:hint="eastAsia" w:ascii="仿宋" w:hAnsi="仿宋" w:eastAsia="仿宋"/>
          <w:b w:val="0"/>
          <w:bCs/>
          <w:color w:val="000000"/>
          <w:sz w:val="32"/>
          <w:szCs w:val="32"/>
        </w:rPr>
        <w:t>万元，完成预算</w:t>
      </w:r>
      <w:r>
        <w:rPr>
          <w:rStyle w:val="21"/>
          <w:rFonts w:hint="eastAsia" w:ascii="仿宋" w:hAnsi="仿宋" w:eastAsia="仿宋"/>
          <w:b w:val="0"/>
          <w:bCs/>
          <w:color w:val="000000"/>
          <w:sz w:val="32"/>
          <w:szCs w:val="32"/>
          <w:lang w:val="en-US" w:eastAsia="zh-CN"/>
        </w:rPr>
        <w:t>100</w:t>
      </w:r>
      <w:r>
        <w:rPr>
          <w:rStyle w:val="21"/>
          <w:rFonts w:ascii="仿宋" w:hAnsi="仿宋" w:eastAsia="仿宋"/>
          <w:b w:val="0"/>
          <w:bCs/>
          <w:color w:val="000000"/>
          <w:sz w:val="32"/>
          <w:szCs w:val="32"/>
        </w:rPr>
        <w:t>%</w:t>
      </w:r>
      <w:r>
        <w:rPr>
          <w:rStyle w:val="21"/>
          <w:rFonts w:hint="eastAsia" w:ascii="仿宋" w:hAnsi="仿宋" w:eastAsia="仿宋"/>
          <w:b w:val="0"/>
          <w:bCs/>
          <w:color w:val="000000"/>
          <w:sz w:val="32"/>
          <w:szCs w:val="32"/>
          <w:lang w:eastAsia="zh-CN"/>
        </w:rPr>
        <w:t>，</w:t>
      </w:r>
      <w:r>
        <w:rPr>
          <w:rFonts w:hint="eastAsia" w:ascii="仿宋" w:hAnsi="仿宋" w:eastAsia="仿宋"/>
          <w:color w:val="000000"/>
          <w:sz w:val="32"/>
          <w:szCs w:val="32"/>
        </w:rPr>
        <w:t>决算数与预算数持平</w:t>
      </w:r>
      <w:r>
        <w:rPr>
          <w:rStyle w:val="21"/>
          <w:rFonts w:hint="eastAsia" w:ascii="仿宋" w:hAnsi="仿宋" w:eastAsia="仿宋"/>
          <w:b w:val="0"/>
          <w:bCs/>
          <w:color w:val="000000"/>
          <w:sz w:val="32"/>
          <w:szCs w:val="32"/>
        </w:rPr>
        <w:t>。</w:t>
      </w:r>
    </w:p>
    <w:p>
      <w:pPr>
        <w:pageBreakBefore w:val="0"/>
        <w:kinsoku/>
        <w:wordWrap/>
        <w:overflowPunct/>
        <w:topLinePunct w:val="0"/>
        <w:bidi w:val="0"/>
        <w:spacing w:line="480" w:lineRule="exact"/>
        <w:ind w:firstLine="643" w:firstLineChars="200"/>
        <w:rPr>
          <w:rFonts w:hint="eastAsia" w:ascii="仿宋" w:hAnsi="仿宋" w:eastAsia="仿宋" w:cs="仿宋"/>
          <w:sz w:val="32"/>
          <w:szCs w:val="32"/>
          <w:shd w:val="clear" w:color="auto" w:fill="FFFFFF"/>
          <w:lang w:val="en-US" w:eastAsia="zh-CN"/>
        </w:rPr>
      </w:pPr>
      <w:r>
        <w:rPr>
          <w:rStyle w:val="21"/>
          <w:rFonts w:ascii="仿宋" w:hAnsi="仿宋" w:eastAsia="仿宋"/>
          <w:bCs/>
          <w:color w:val="000000"/>
          <w:sz w:val="32"/>
          <w:szCs w:val="32"/>
        </w:rPr>
        <w:t>5.</w:t>
      </w:r>
      <w:r>
        <w:rPr>
          <w:rStyle w:val="21"/>
          <w:rFonts w:hint="eastAsia" w:ascii="仿宋" w:hAnsi="仿宋" w:eastAsia="仿宋"/>
          <w:bCs/>
          <w:color w:val="000000"/>
          <w:sz w:val="32"/>
          <w:szCs w:val="32"/>
          <w:lang w:val="en-US" w:eastAsia="zh-CN"/>
        </w:rPr>
        <w:t>机关事业单位基本养老保险缴费支出2080505</w:t>
      </w:r>
      <w:r>
        <w:rPr>
          <w:rStyle w:val="21"/>
          <w:rFonts w:ascii="仿宋" w:hAnsi="仿宋" w:eastAsia="仿宋"/>
          <w:bCs/>
          <w:color w:val="000000"/>
          <w:sz w:val="32"/>
          <w:szCs w:val="32"/>
        </w:rPr>
        <w:t>:</w:t>
      </w:r>
      <w:r>
        <w:rPr>
          <w:rStyle w:val="21"/>
          <w:rFonts w:ascii="仿宋" w:hAnsi="仿宋" w:eastAsia="仿宋"/>
          <w:b w:val="0"/>
          <w:bCs/>
          <w:color w:val="000000"/>
          <w:sz w:val="32"/>
          <w:szCs w:val="32"/>
        </w:rPr>
        <w:t xml:space="preserve"> </w:t>
      </w:r>
      <w:r>
        <w:rPr>
          <w:rStyle w:val="21"/>
          <w:rFonts w:hint="eastAsia" w:ascii="仿宋" w:hAnsi="仿宋" w:eastAsia="仿宋"/>
          <w:b w:val="0"/>
          <w:bCs/>
          <w:color w:val="000000"/>
          <w:sz w:val="32"/>
          <w:szCs w:val="32"/>
        </w:rPr>
        <w:t>支出决算为</w:t>
      </w:r>
      <w:r>
        <w:rPr>
          <w:rStyle w:val="21"/>
          <w:rFonts w:hint="eastAsia" w:ascii="仿宋" w:hAnsi="仿宋" w:eastAsia="仿宋"/>
          <w:b w:val="0"/>
          <w:bCs/>
          <w:color w:val="000000"/>
          <w:sz w:val="32"/>
          <w:szCs w:val="32"/>
          <w:lang w:val="en-US" w:eastAsia="zh-CN"/>
        </w:rPr>
        <w:t>109.63</w:t>
      </w:r>
      <w:r>
        <w:rPr>
          <w:rStyle w:val="21"/>
          <w:rFonts w:hint="eastAsia" w:ascii="仿宋" w:hAnsi="仿宋" w:eastAsia="仿宋"/>
          <w:b w:val="0"/>
          <w:bCs/>
          <w:color w:val="000000"/>
          <w:sz w:val="32"/>
          <w:szCs w:val="32"/>
        </w:rPr>
        <w:t>万元，完成预算</w:t>
      </w:r>
      <w:r>
        <w:rPr>
          <w:rStyle w:val="21"/>
          <w:rFonts w:hint="eastAsia" w:ascii="仿宋" w:hAnsi="仿宋" w:eastAsia="仿宋"/>
          <w:b w:val="0"/>
          <w:bCs/>
          <w:color w:val="000000"/>
          <w:sz w:val="32"/>
          <w:szCs w:val="32"/>
          <w:lang w:val="en-US" w:eastAsia="zh-CN"/>
        </w:rPr>
        <w:t>100</w:t>
      </w:r>
      <w:r>
        <w:rPr>
          <w:rStyle w:val="21"/>
          <w:rFonts w:ascii="仿宋" w:hAnsi="仿宋" w:eastAsia="仿宋"/>
          <w:b w:val="0"/>
          <w:bCs/>
          <w:color w:val="000000"/>
          <w:sz w:val="32"/>
          <w:szCs w:val="32"/>
        </w:rPr>
        <w:t>%</w:t>
      </w:r>
      <w:r>
        <w:rPr>
          <w:rStyle w:val="21"/>
          <w:rFonts w:hint="eastAsia" w:ascii="仿宋" w:hAnsi="仿宋" w:eastAsia="仿宋"/>
          <w:b w:val="0"/>
          <w:bCs/>
          <w:color w:val="000000"/>
          <w:sz w:val="32"/>
          <w:szCs w:val="32"/>
          <w:lang w:eastAsia="zh-CN"/>
        </w:rPr>
        <w:t>，</w:t>
      </w:r>
      <w:r>
        <w:rPr>
          <w:rFonts w:hint="eastAsia" w:ascii="仿宋" w:hAnsi="仿宋" w:eastAsia="仿宋"/>
          <w:color w:val="000000"/>
          <w:sz w:val="32"/>
          <w:szCs w:val="32"/>
        </w:rPr>
        <w:t>决算数与预算数持平</w:t>
      </w:r>
      <w:r>
        <w:rPr>
          <w:rStyle w:val="21"/>
          <w:rFonts w:hint="eastAsia" w:ascii="仿宋" w:hAnsi="仿宋" w:eastAsia="仿宋"/>
          <w:b w:val="0"/>
          <w:bCs/>
          <w:color w:val="000000"/>
          <w:sz w:val="32"/>
          <w:szCs w:val="32"/>
        </w:rPr>
        <w:t>。</w:t>
      </w:r>
    </w:p>
    <w:p>
      <w:pPr>
        <w:pageBreakBefore w:val="0"/>
        <w:kinsoku/>
        <w:wordWrap/>
        <w:overflowPunct/>
        <w:topLinePunct w:val="0"/>
        <w:bidi w:val="0"/>
        <w:spacing w:line="480" w:lineRule="exact"/>
        <w:ind w:firstLine="643" w:firstLineChars="200"/>
        <w:rPr>
          <w:rFonts w:hint="eastAsia" w:ascii="仿宋" w:hAnsi="仿宋" w:eastAsia="仿宋" w:cs="仿宋"/>
          <w:sz w:val="32"/>
          <w:szCs w:val="32"/>
          <w:shd w:val="clear" w:color="auto" w:fill="FFFFFF"/>
          <w:lang w:val="en-US" w:eastAsia="zh-CN"/>
        </w:rPr>
      </w:pPr>
      <w:r>
        <w:rPr>
          <w:rStyle w:val="21"/>
          <w:rFonts w:hint="eastAsia" w:ascii="仿宋" w:hAnsi="仿宋" w:eastAsia="仿宋"/>
          <w:bCs/>
          <w:color w:val="000000"/>
          <w:sz w:val="32"/>
          <w:szCs w:val="32"/>
          <w:lang w:val="en-US" w:eastAsia="zh-CN"/>
        </w:rPr>
        <w:t>6.机关事业单位职业年金缴费支出2080506</w:t>
      </w:r>
      <w:r>
        <w:rPr>
          <w:rStyle w:val="21"/>
          <w:rFonts w:ascii="仿宋" w:hAnsi="仿宋" w:eastAsia="仿宋"/>
          <w:bCs/>
          <w:color w:val="000000"/>
          <w:sz w:val="32"/>
          <w:szCs w:val="32"/>
        </w:rPr>
        <w:t>:</w:t>
      </w:r>
      <w:r>
        <w:rPr>
          <w:rStyle w:val="21"/>
          <w:rFonts w:ascii="仿宋" w:hAnsi="仿宋" w:eastAsia="仿宋"/>
          <w:b w:val="0"/>
          <w:bCs/>
          <w:color w:val="000000"/>
          <w:sz w:val="32"/>
          <w:szCs w:val="32"/>
        </w:rPr>
        <w:t xml:space="preserve"> </w:t>
      </w:r>
      <w:r>
        <w:rPr>
          <w:rStyle w:val="21"/>
          <w:rFonts w:hint="eastAsia" w:ascii="仿宋" w:hAnsi="仿宋" w:eastAsia="仿宋"/>
          <w:b w:val="0"/>
          <w:bCs/>
          <w:color w:val="000000"/>
          <w:sz w:val="32"/>
          <w:szCs w:val="32"/>
        </w:rPr>
        <w:t>支出决算为</w:t>
      </w:r>
      <w:r>
        <w:rPr>
          <w:rStyle w:val="21"/>
          <w:rFonts w:hint="eastAsia" w:ascii="仿宋" w:hAnsi="仿宋" w:eastAsia="仿宋"/>
          <w:b w:val="0"/>
          <w:bCs/>
          <w:color w:val="000000"/>
          <w:sz w:val="32"/>
          <w:szCs w:val="32"/>
          <w:lang w:val="en-US" w:eastAsia="zh-CN"/>
        </w:rPr>
        <w:t>54.80</w:t>
      </w:r>
      <w:r>
        <w:rPr>
          <w:rStyle w:val="21"/>
          <w:rFonts w:hint="eastAsia" w:ascii="仿宋" w:hAnsi="仿宋" w:eastAsia="仿宋"/>
          <w:b w:val="0"/>
          <w:bCs/>
          <w:color w:val="000000"/>
          <w:sz w:val="32"/>
          <w:szCs w:val="32"/>
        </w:rPr>
        <w:t>万元，完成预算</w:t>
      </w:r>
      <w:r>
        <w:rPr>
          <w:rStyle w:val="21"/>
          <w:rFonts w:hint="eastAsia" w:ascii="仿宋" w:hAnsi="仿宋" w:eastAsia="仿宋"/>
          <w:b w:val="0"/>
          <w:bCs/>
          <w:color w:val="000000"/>
          <w:sz w:val="32"/>
          <w:szCs w:val="32"/>
          <w:lang w:val="en-US" w:eastAsia="zh-CN"/>
        </w:rPr>
        <w:t>100</w:t>
      </w:r>
      <w:r>
        <w:rPr>
          <w:rStyle w:val="21"/>
          <w:rFonts w:ascii="仿宋" w:hAnsi="仿宋" w:eastAsia="仿宋"/>
          <w:b w:val="0"/>
          <w:bCs/>
          <w:color w:val="000000"/>
          <w:sz w:val="32"/>
          <w:szCs w:val="32"/>
        </w:rPr>
        <w:t>%</w:t>
      </w:r>
      <w:r>
        <w:rPr>
          <w:rFonts w:hint="eastAsia" w:ascii="仿宋" w:hAnsi="仿宋" w:eastAsia="仿宋" w:cs="仿宋"/>
          <w:sz w:val="32"/>
          <w:szCs w:val="32"/>
          <w:shd w:val="clear" w:color="auto" w:fill="FFFFFF"/>
          <w:lang w:val="en-US" w:eastAsia="zh-CN"/>
        </w:rPr>
        <w:t>，</w:t>
      </w:r>
      <w:r>
        <w:rPr>
          <w:rFonts w:hint="eastAsia" w:ascii="仿宋" w:hAnsi="仿宋" w:eastAsia="仿宋"/>
          <w:color w:val="000000"/>
          <w:sz w:val="32"/>
          <w:szCs w:val="32"/>
        </w:rPr>
        <w:t>决算数与预算数持平</w:t>
      </w:r>
      <w:r>
        <w:rPr>
          <w:rStyle w:val="21"/>
          <w:rFonts w:hint="eastAsia" w:ascii="仿宋" w:hAnsi="仿宋" w:eastAsia="仿宋"/>
          <w:b w:val="0"/>
          <w:bCs/>
          <w:color w:val="000000"/>
          <w:sz w:val="32"/>
          <w:szCs w:val="32"/>
        </w:rPr>
        <w:t>。</w:t>
      </w:r>
    </w:p>
    <w:p>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643" w:firstLineChars="200"/>
        <w:jc w:val="left"/>
        <w:textAlignment w:val="auto"/>
        <w:rPr>
          <w:rFonts w:hint="eastAsia" w:ascii="仿宋" w:hAnsi="仿宋" w:eastAsia="仿宋" w:cs="仿宋"/>
          <w:sz w:val="32"/>
          <w:szCs w:val="32"/>
          <w:shd w:val="clear" w:color="auto" w:fill="FFFFFF"/>
        </w:rPr>
      </w:pPr>
      <w:r>
        <w:rPr>
          <w:rStyle w:val="21"/>
          <w:rFonts w:hint="eastAsia" w:ascii="仿宋" w:hAnsi="仿宋" w:eastAsia="仿宋"/>
          <w:bCs/>
          <w:color w:val="000000"/>
          <w:sz w:val="32"/>
          <w:szCs w:val="32"/>
          <w:lang w:val="en-US" w:eastAsia="zh-CN"/>
        </w:rPr>
        <w:t>7.事业单位医疗2101102</w:t>
      </w:r>
      <w:r>
        <w:rPr>
          <w:rStyle w:val="21"/>
          <w:rFonts w:ascii="仿宋" w:hAnsi="仿宋" w:eastAsia="仿宋"/>
          <w:bCs/>
          <w:color w:val="000000"/>
          <w:sz w:val="32"/>
          <w:szCs w:val="32"/>
        </w:rPr>
        <w:t>:</w:t>
      </w:r>
      <w:r>
        <w:rPr>
          <w:rStyle w:val="21"/>
          <w:rFonts w:ascii="仿宋" w:hAnsi="仿宋" w:eastAsia="仿宋"/>
          <w:b w:val="0"/>
          <w:bCs/>
          <w:color w:val="000000"/>
          <w:sz w:val="32"/>
          <w:szCs w:val="32"/>
        </w:rPr>
        <w:t xml:space="preserve"> </w:t>
      </w:r>
      <w:r>
        <w:rPr>
          <w:rStyle w:val="21"/>
          <w:rFonts w:hint="eastAsia" w:ascii="仿宋" w:hAnsi="仿宋" w:eastAsia="仿宋"/>
          <w:b w:val="0"/>
          <w:bCs/>
          <w:color w:val="000000"/>
          <w:sz w:val="32"/>
          <w:szCs w:val="32"/>
        </w:rPr>
        <w:t>支出决算为</w:t>
      </w:r>
      <w:r>
        <w:rPr>
          <w:rStyle w:val="21"/>
          <w:rFonts w:hint="eastAsia" w:ascii="仿宋" w:hAnsi="仿宋" w:eastAsia="仿宋"/>
          <w:b w:val="0"/>
          <w:bCs/>
          <w:color w:val="000000"/>
          <w:sz w:val="32"/>
          <w:szCs w:val="32"/>
          <w:lang w:val="en-US" w:eastAsia="zh-CN"/>
        </w:rPr>
        <w:t>67.27</w:t>
      </w:r>
      <w:r>
        <w:rPr>
          <w:rStyle w:val="21"/>
          <w:rFonts w:hint="eastAsia" w:ascii="仿宋" w:hAnsi="仿宋" w:eastAsia="仿宋"/>
          <w:b w:val="0"/>
          <w:bCs/>
          <w:color w:val="000000"/>
          <w:sz w:val="32"/>
          <w:szCs w:val="32"/>
        </w:rPr>
        <w:t>万元，完成预算</w:t>
      </w:r>
      <w:r>
        <w:rPr>
          <w:rStyle w:val="21"/>
          <w:rFonts w:hint="eastAsia" w:ascii="仿宋" w:hAnsi="仿宋" w:eastAsia="仿宋"/>
          <w:b w:val="0"/>
          <w:bCs/>
          <w:color w:val="000000"/>
          <w:sz w:val="32"/>
          <w:szCs w:val="32"/>
          <w:lang w:val="en-US" w:eastAsia="zh-CN"/>
        </w:rPr>
        <w:t>100</w:t>
      </w:r>
      <w:r>
        <w:rPr>
          <w:rStyle w:val="21"/>
          <w:rFonts w:ascii="仿宋" w:hAnsi="仿宋" w:eastAsia="仿宋"/>
          <w:b w:val="0"/>
          <w:bCs/>
          <w:color w:val="000000"/>
          <w:sz w:val="32"/>
          <w:szCs w:val="32"/>
        </w:rPr>
        <w:t>%</w:t>
      </w:r>
      <w:r>
        <w:rPr>
          <w:rStyle w:val="21"/>
          <w:rFonts w:hint="eastAsia" w:ascii="仿宋" w:hAnsi="仿宋" w:eastAsia="仿宋"/>
          <w:b w:val="0"/>
          <w:bCs/>
          <w:color w:val="000000"/>
          <w:sz w:val="32"/>
          <w:szCs w:val="32"/>
          <w:lang w:eastAsia="zh-CN"/>
        </w:rPr>
        <w:t>，</w:t>
      </w:r>
      <w:r>
        <w:rPr>
          <w:rFonts w:hint="eastAsia" w:ascii="仿宋" w:hAnsi="仿宋" w:eastAsia="仿宋"/>
          <w:color w:val="000000"/>
          <w:sz w:val="32"/>
          <w:szCs w:val="32"/>
        </w:rPr>
        <w:t>决算数与预算数持平</w:t>
      </w:r>
      <w:r>
        <w:rPr>
          <w:rFonts w:hint="eastAsia" w:ascii="仿宋" w:hAnsi="仿宋" w:eastAsia="仿宋" w:cs="仿宋"/>
          <w:sz w:val="32"/>
          <w:szCs w:val="32"/>
          <w:shd w:val="clear" w:color="auto" w:fill="FFFFFF"/>
        </w:rPr>
        <w:t>。</w:t>
      </w:r>
    </w:p>
    <w:p>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643" w:firstLineChars="200"/>
        <w:jc w:val="left"/>
        <w:textAlignment w:val="auto"/>
        <w:rPr>
          <w:rFonts w:hint="eastAsia" w:ascii="仿宋" w:hAnsi="仿宋" w:eastAsia="仿宋" w:cs="仿宋"/>
          <w:sz w:val="32"/>
          <w:szCs w:val="32"/>
          <w:shd w:val="clear" w:color="auto" w:fill="FFFFFF"/>
        </w:rPr>
      </w:pPr>
      <w:r>
        <w:rPr>
          <w:rStyle w:val="21"/>
          <w:rFonts w:hint="eastAsia" w:ascii="仿宋" w:hAnsi="仿宋" w:eastAsia="仿宋"/>
          <w:bCs/>
          <w:color w:val="000000"/>
          <w:sz w:val="32"/>
          <w:szCs w:val="32"/>
          <w:lang w:val="en-US" w:eastAsia="zh-CN"/>
        </w:rPr>
        <w:t>8.其他行政事业单位医疗支出2101199</w:t>
      </w:r>
      <w:r>
        <w:rPr>
          <w:rStyle w:val="21"/>
          <w:rFonts w:ascii="仿宋" w:hAnsi="仿宋" w:eastAsia="仿宋"/>
          <w:bCs/>
          <w:color w:val="000000"/>
          <w:sz w:val="32"/>
          <w:szCs w:val="32"/>
        </w:rPr>
        <w:t>:</w:t>
      </w:r>
      <w:r>
        <w:rPr>
          <w:rStyle w:val="21"/>
          <w:rFonts w:ascii="仿宋" w:hAnsi="仿宋" w:eastAsia="仿宋"/>
          <w:b w:val="0"/>
          <w:bCs/>
          <w:color w:val="000000"/>
          <w:sz w:val="32"/>
          <w:szCs w:val="32"/>
        </w:rPr>
        <w:t xml:space="preserve"> </w:t>
      </w:r>
      <w:r>
        <w:rPr>
          <w:rStyle w:val="21"/>
          <w:rFonts w:hint="eastAsia" w:ascii="仿宋" w:hAnsi="仿宋" w:eastAsia="仿宋"/>
          <w:b w:val="0"/>
          <w:bCs/>
          <w:color w:val="000000"/>
          <w:sz w:val="32"/>
          <w:szCs w:val="32"/>
        </w:rPr>
        <w:t>支出决算为</w:t>
      </w:r>
      <w:r>
        <w:rPr>
          <w:rStyle w:val="21"/>
          <w:rFonts w:hint="eastAsia" w:ascii="仿宋" w:hAnsi="仿宋" w:eastAsia="仿宋"/>
          <w:b w:val="0"/>
          <w:bCs/>
          <w:color w:val="000000"/>
          <w:sz w:val="32"/>
          <w:szCs w:val="32"/>
          <w:lang w:val="en-US" w:eastAsia="zh-CN"/>
        </w:rPr>
        <w:t>12.97</w:t>
      </w:r>
      <w:r>
        <w:rPr>
          <w:rStyle w:val="21"/>
          <w:rFonts w:hint="eastAsia" w:ascii="仿宋" w:hAnsi="仿宋" w:eastAsia="仿宋"/>
          <w:b w:val="0"/>
          <w:bCs/>
          <w:color w:val="000000"/>
          <w:sz w:val="32"/>
          <w:szCs w:val="32"/>
        </w:rPr>
        <w:t>万元，完成预算</w:t>
      </w:r>
      <w:r>
        <w:rPr>
          <w:rStyle w:val="21"/>
          <w:rFonts w:hint="eastAsia" w:ascii="仿宋" w:hAnsi="仿宋" w:eastAsia="仿宋"/>
          <w:b w:val="0"/>
          <w:bCs/>
          <w:color w:val="000000"/>
          <w:sz w:val="32"/>
          <w:szCs w:val="32"/>
          <w:lang w:val="en-US" w:eastAsia="zh-CN"/>
        </w:rPr>
        <w:t>100</w:t>
      </w:r>
      <w:r>
        <w:rPr>
          <w:rStyle w:val="21"/>
          <w:rFonts w:ascii="仿宋" w:hAnsi="仿宋" w:eastAsia="仿宋"/>
          <w:b w:val="0"/>
          <w:bCs/>
          <w:color w:val="000000"/>
          <w:sz w:val="32"/>
          <w:szCs w:val="32"/>
        </w:rPr>
        <w:t>%</w:t>
      </w:r>
      <w:r>
        <w:rPr>
          <w:rStyle w:val="21"/>
          <w:rFonts w:hint="eastAsia" w:ascii="仿宋" w:hAnsi="仿宋" w:eastAsia="仿宋"/>
          <w:b w:val="0"/>
          <w:bCs/>
          <w:color w:val="000000"/>
          <w:sz w:val="32"/>
          <w:szCs w:val="32"/>
          <w:lang w:eastAsia="zh-CN"/>
        </w:rPr>
        <w:t>，</w:t>
      </w:r>
      <w:r>
        <w:rPr>
          <w:rFonts w:hint="eastAsia" w:ascii="仿宋" w:hAnsi="仿宋" w:eastAsia="仿宋"/>
          <w:color w:val="000000"/>
          <w:sz w:val="32"/>
          <w:szCs w:val="32"/>
        </w:rPr>
        <w:t>决算数与预算数持平</w:t>
      </w:r>
      <w:r>
        <w:rPr>
          <w:rFonts w:hint="eastAsia" w:ascii="仿宋" w:hAnsi="仿宋" w:eastAsia="仿宋" w:cs="仿宋"/>
          <w:sz w:val="32"/>
          <w:szCs w:val="32"/>
          <w:shd w:val="clear" w:color="auto" w:fill="FFFFFF"/>
        </w:rPr>
        <w:t>。</w:t>
      </w:r>
    </w:p>
    <w:p>
      <w:pPr>
        <w:pStyle w:val="1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firstLine="643" w:firstLineChars="200"/>
        <w:jc w:val="left"/>
        <w:textAlignment w:val="auto"/>
        <w:rPr>
          <w:rFonts w:ascii="仿宋" w:hAnsi="仿宋" w:eastAsia="仿宋"/>
          <w:color w:val="000000"/>
          <w:sz w:val="32"/>
          <w:szCs w:val="32"/>
        </w:rPr>
      </w:pPr>
      <w:r>
        <w:rPr>
          <w:rStyle w:val="21"/>
          <w:rFonts w:hint="eastAsia" w:ascii="仿宋" w:hAnsi="仿宋" w:eastAsia="仿宋"/>
          <w:bCs/>
          <w:color w:val="000000"/>
          <w:sz w:val="32"/>
          <w:szCs w:val="32"/>
          <w:lang w:val="en-US" w:eastAsia="zh-CN"/>
        </w:rPr>
        <w:t>9</w:t>
      </w:r>
      <w:r>
        <w:rPr>
          <w:rStyle w:val="21"/>
          <w:rFonts w:ascii="仿宋" w:hAnsi="仿宋" w:eastAsia="仿宋"/>
          <w:bCs/>
          <w:color w:val="000000"/>
          <w:sz w:val="32"/>
          <w:szCs w:val="32"/>
        </w:rPr>
        <w:t>.</w:t>
      </w:r>
      <w:r>
        <w:rPr>
          <w:rFonts w:hint="eastAsia" w:ascii="仿宋" w:hAnsi="仿宋" w:eastAsia="仿宋"/>
          <w:b/>
          <w:bCs/>
          <w:color w:val="000000"/>
          <w:sz w:val="32"/>
          <w:szCs w:val="32"/>
          <w:lang w:val="en-US" w:eastAsia="zh-CN"/>
        </w:rPr>
        <w:t>住房公积金2210201</w:t>
      </w:r>
      <w:r>
        <w:rPr>
          <w:rStyle w:val="21"/>
          <w:rFonts w:ascii="仿宋" w:hAnsi="仿宋" w:eastAsia="仿宋"/>
          <w:bCs/>
          <w:color w:val="000000"/>
          <w:sz w:val="32"/>
          <w:szCs w:val="32"/>
        </w:rPr>
        <w:t>:</w:t>
      </w:r>
      <w:r>
        <w:rPr>
          <w:rStyle w:val="21"/>
          <w:rFonts w:hint="eastAsia" w:ascii="仿宋" w:hAnsi="仿宋" w:eastAsia="仿宋"/>
          <w:b w:val="0"/>
          <w:bCs/>
          <w:color w:val="000000"/>
          <w:sz w:val="32"/>
          <w:szCs w:val="32"/>
        </w:rPr>
        <w:t>支出决算为</w:t>
      </w:r>
      <w:r>
        <w:rPr>
          <w:rStyle w:val="21"/>
          <w:rFonts w:hint="eastAsia" w:ascii="仿宋" w:hAnsi="仿宋" w:eastAsia="仿宋"/>
          <w:b w:val="0"/>
          <w:bCs/>
          <w:color w:val="000000"/>
          <w:sz w:val="32"/>
          <w:szCs w:val="32"/>
          <w:lang w:val="en-US" w:eastAsia="zh-CN"/>
        </w:rPr>
        <w:t>114.11</w:t>
      </w:r>
      <w:r>
        <w:rPr>
          <w:rStyle w:val="21"/>
          <w:rFonts w:hint="eastAsia" w:ascii="仿宋" w:hAnsi="仿宋" w:eastAsia="仿宋"/>
          <w:b w:val="0"/>
          <w:bCs/>
          <w:color w:val="000000"/>
          <w:sz w:val="32"/>
          <w:szCs w:val="32"/>
        </w:rPr>
        <w:t>万元，完成预算</w:t>
      </w:r>
      <w:r>
        <w:rPr>
          <w:rStyle w:val="21"/>
          <w:rFonts w:hint="eastAsia" w:ascii="仿宋" w:hAnsi="仿宋" w:eastAsia="仿宋"/>
          <w:b w:val="0"/>
          <w:bCs/>
          <w:color w:val="000000"/>
          <w:sz w:val="32"/>
          <w:szCs w:val="32"/>
          <w:lang w:val="en-US" w:eastAsia="zh-CN"/>
        </w:rPr>
        <w:t>100</w:t>
      </w:r>
      <w:r>
        <w:rPr>
          <w:rStyle w:val="21"/>
          <w:rFonts w:ascii="仿宋" w:hAnsi="仿宋" w:eastAsia="仿宋"/>
          <w:b w:val="0"/>
          <w:bCs/>
          <w:color w:val="000000"/>
          <w:sz w:val="32"/>
          <w:szCs w:val="32"/>
        </w:rPr>
        <w:t>%</w:t>
      </w:r>
      <w:r>
        <w:rPr>
          <w:rStyle w:val="21"/>
          <w:rFonts w:hint="eastAsia" w:ascii="仿宋" w:hAnsi="仿宋" w:eastAsia="仿宋"/>
          <w:b w:val="0"/>
          <w:bCs/>
          <w:color w:val="000000"/>
          <w:sz w:val="32"/>
          <w:szCs w:val="32"/>
          <w:lang w:eastAsia="zh-CN"/>
        </w:rPr>
        <w:t>，</w:t>
      </w:r>
      <w:r>
        <w:rPr>
          <w:rFonts w:hint="eastAsia" w:ascii="仿宋" w:hAnsi="仿宋" w:eastAsia="仿宋"/>
          <w:color w:val="000000"/>
          <w:sz w:val="32"/>
          <w:szCs w:val="32"/>
        </w:rPr>
        <w:t>决算数与预算数持平</w:t>
      </w:r>
      <w:r>
        <w:rPr>
          <w:rFonts w:hint="eastAsia" w:ascii="仿宋" w:hAnsi="仿宋" w:eastAsia="仿宋" w:cs="仿宋"/>
          <w:sz w:val="32"/>
          <w:szCs w:val="32"/>
          <w:shd w:val="clear" w:color="auto" w:fill="FFFFFF"/>
        </w:rPr>
        <w:t>。</w:t>
      </w:r>
    </w:p>
    <w:p>
      <w:pPr>
        <w:pageBreakBefore w:val="0"/>
        <w:tabs>
          <w:tab w:val="right" w:pos="8306"/>
        </w:tabs>
        <w:kinsoku/>
        <w:wordWrap/>
        <w:overflowPunct/>
        <w:topLinePunct w:val="0"/>
        <w:bidi w:val="0"/>
        <w:spacing w:line="480" w:lineRule="exact"/>
        <w:ind w:firstLine="640"/>
        <w:outlineLvl w:val="1"/>
        <w:rPr>
          <w:rStyle w:val="24"/>
        </w:rPr>
      </w:pPr>
      <w:bookmarkStart w:id="68" w:name="_Toc79163868"/>
      <w:bookmarkStart w:id="69" w:name="_Toc15377214"/>
      <w:bookmarkStart w:id="70" w:name="_Toc79163618"/>
      <w:bookmarkStart w:id="71" w:name="_Toc15396608"/>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4"/>
          <w:rFonts w:hint="eastAsia" w:ascii="黑体" w:hAnsi="黑体" w:eastAsia="黑体"/>
          <w:b w:val="0"/>
        </w:rPr>
        <w:t>般公共预算财政拨款基本支出决算情况说明</w:t>
      </w:r>
      <w:bookmarkEnd w:id="68"/>
      <w:bookmarkEnd w:id="69"/>
      <w:bookmarkEnd w:id="70"/>
      <w:bookmarkEnd w:id="71"/>
      <w:r>
        <w:rPr>
          <w:rStyle w:val="24"/>
          <w:rFonts w:ascii="黑体" w:hAnsi="黑体" w:eastAsia="黑体"/>
          <w:b w:val="0"/>
        </w:rPr>
        <w:tab/>
      </w:r>
    </w:p>
    <w:p>
      <w:pPr>
        <w:pageBreakBefore w:val="0"/>
        <w:kinsoku/>
        <w:wordWrap/>
        <w:overflowPunct/>
        <w:topLinePunct w:val="0"/>
        <w:bidi w:val="0"/>
        <w:spacing w:line="480" w:lineRule="exact"/>
        <w:ind w:firstLine="645"/>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年一般公共预算财政拨款基本支出</w:t>
      </w:r>
      <w:r>
        <w:rPr>
          <w:rFonts w:hint="eastAsia" w:ascii="仿宋" w:hAnsi="仿宋" w:eastAsia="仿宋"/>
          <w:color w:val="000000"/>
          <w:sz w:val="32"/>
          <w:szCs w:val="32"/>
          <w:lang w:val="en-US" w:eastAsia="zh-CN"/>
        </w:rPr>
        <w:t>2594.02</w:t>
      </w:r>
      <w:r>
        <w:rPr>
          <w:rFonts w:hint="eastAsia" w:ascii="仿宋" w:hAnsi="仿宋" w:eastAsia="仿宋"/>
          <w:color w:val="000000"/>
          <w:sz w:val="32"/>
          <w:szCs w:val="32"/>
        </w:rPr>
        <w:t>万元，其中：</w:t>
      </w:r>
    </w:p>
    <w:p>
      <w:pPr>
        <w:pageBreakBefore w:val="0"/>
        <w:kinsoku/>
        <w:wordWrap/>
        <w:overflowPunct/>
        <w:topLinePunct w:val="0"/>
        <w:bidi w:val="0"/>
        <w:spacing w:line="480" w:lineRule="exact"/>
        <w:ind w:firstLine="645"/>
        <w:rPr>
          <w:rFonts w:ascii="仿宋" w:hAnsi="仿宋" w:eastAsia="仿宋"/>
          <w:b/>
          <w:color w:val="FF0000"/>
          <w:sz w:val="32"/>
          <w:szCs w:val="32"/>
        </w:rPr>
      </w:pPr>
      <w:r>
        <w:rPr>
          <w:rFonts w:hint="eastAsia" w:ascii="仿宋" w:hAnsi="仿宋" w:eastAsia="仿宋"/>
          <w:color w:val="000000"/>
          <w:sz w:val="32"/>
          <w:szCs w:val="32"/>
        </w:rPr>
        <w:t>人员经费</w:t>
      </w:r>
      <w:r>
        <w:rPr>
          <w:rFonts w:hint="eastAsia" w:ascii="仿宋" w:hAnsi="仿宋" w:eastAsia="仿宋"/>
          <w:color w:val="000000"/>
          <w:sz w:val="32"/>
          <w:szCs w:val="32"/>
          <w:lang w:val="en-US" w:eastAsia="zh-CN"/>
        </w:rPr>
        <w:t>1867.83</w:t>
      </w:r>
      <w:r>
        <w:rPr>
          <w:rFonts w:hint="eastAsia" w:ascii="仿宋" w:hAnsi="仿宋" w:eastAsia="仿宋"/>
          <w:color w:val="000000"/>
          <w:sz w:val="32"/>
          <w:szCs w:val="32"/>
        </w:rPr>
        <w:t>万元，主要包括：基本工资</w:t>
      </w:r>
      <w:r>
        <w:rPr>
          <w:rFonts w:hint="eastAsia" w:ascii="仿宋" w:hAnsi="仿宋" w:eastAsia="仿宋"/>
          <w:color w:val="000000"/>
          <w:sz w:val="32"/>
          <w:szCs w:val="32"/>
          <w:lang w:val="en-US" w:eastAsia="zh-CN"/>
        </w:rPr>
        <w:t>282.60万元</w:t>
      </w:r>
      <w:r>
        <w:rPr>
          <w:rFonts w:hint="eastAsia" w:ascii="仿宋" w:hAnsi="仿宋" w:eastAsia="仿宋"/>
          <w:color w:val="000000"/>
          <w:sz w:val="32"/>
          <w:szCs w:val="32"/>
        </w:rPr>
        <w:t>、津贴补贴</w:t>
      </w:r>
      <w:r>
        <w:rPr>
          <w:rFonts w:hint="eastAsia" w:ascii="仿宋" w:hAnsi="仿宋" w:eastAsia="仿宋"/>
          <w:color w:val="000000"/>
          <w:sz w:val="32"/>
          <w:szCs w:val="32"/>
          <w:lang w:val="en-US" w:eastAsia="zh-CN"/>
        </w:rPr>
        <w:t>553.07万元</w:t>
      </w:r>
      <w:r>
        <w:rPr>
          <w:rFonts w:hint="eastAsia" w:ascii="仿宋" w:hAnsi="仿宋" w:eastAsia="仿宋"/>
          <w:color w:val="000000"/>
          <w:sz w:val="32"/>
          <w:szCs w:val="32"/>
        </w:rPr>
        <w:t>、奖金</w:t>
      </w:r>
      <w:r>
        <w:rPr>
          <w:rFonts w:hint="eastAsia" w:ascii="仿宋" w:hAnsi="仿宋" w:eastAsia="仿宋"/>
          <w:color w:val="000000"/>
          <w:sz w:val="32"/>
          <w:szCs w:val="32"/>
          <w:lang w:val="en-US" w:eastAsia="zh-CN"/>
        </w:rPr>
        <w:t>111.72万元</w:t>
      </w:r>
      <w:r>
        <w:rPr>
          <w:rFonts w:hint="eastAsia" w:ascii="仿宋" w:hAnsi="仿宋" w:eastAsia="仿宋"/>
          <w:color w:val="000000"/>
          <w:sz w:val="32"/>
          <w:szCs w:val="32"/>
        </w:rPr>
        <w:t>、伙食补助费</w:t>
      </w:r>
      <w:r>
        <w:rPr>
          <w:rFonts w:hint="eastAsia" w:ascii="仿宋" w:hAnsi="仿宋" w:eastAsia="仿宋"/>
          <w:color w:val="000000"/>
          <w:sz w:val="32"/>
          <w:szCs w:val="32"/>
          <w:lang w:val="en-US" w:eastAsia="zh-CN"/>
        </w:rPr>
        <w:t>65万元</w:t>
      </w:r>
      <w:r>
        <w:rPr>
          <w:rFonts w:hint="eastAsia" w:ascii="仿宋" w:hAnsi="仿宋" w:eastAsia="仿宋"/>
          <w:color w:val="000000"/>
          <w:sz w:val="32"/>
          <w:szCs w:val="32"/>
        </w:rPr>
        <w:t>、绩效工资</w:t>
      </w:r>
      <w:r>
        <w:rPr>
          <w:rFonts w:hint="eastAsia" w:ascii="仿宋" w:hAnsi="仿宋" w:eastAsia="仿宋"/>
          <w:color w:val="000000"/>
          <w:sz w:val="32"/>
          <w:szCs w:val="32"/>
          <w:lang w:val="en-US" w:eastAsia="zh-CN"/>
        </w:rPr>
        <w:t>253.79万元</w:t>
      </w:r>
      <w:r>
        <w:rPr>
          <w:rFonts w:hint="eastAsia" w:ascii="仿宋" w:hAnsi="仿宋" w:eastAsia="仿宋"/>
          <w:color w:val="000000"/>
          <w:sz w:val="32"/>
          <w:szCs w:val="32"/>
        </w:rPr>
        <w:t>、机关事业单位基本养老保险缴费</w:t>
      </w:r>
      <w:r>
        <w:rPr>
          <w:rFonts w:hint="eastAsia" w:ascii="仿宋" w:hAnsi="仿宋" w:eastAsia="仿宋"/>
          <w:color w:val="000000"/>
          <w:sz w:val="32"/>
          <w:szCs w:val="32"/>
          <w:lang w:val="en-US" w:eastAsia="zh-CN"/>
        </w:rPr>
        <w:t>109.63万元</w:t>
      </w:r>
      <w:r>
        <w:rPr>
          <w:rFonts w:hint="eastAsia" w:ascii="仿宋" w:hAnsi="仿宋" w:eastAsia="仿宋"/>
          <w:color w:val="000000"/>
          <w:sz w:val="32"/>
          <w:szCs w:val="32"/>
        </w:rPr>
        <w:t>、职业年金缴费</w:t>
      </w:r>
      <w:r>
        <w:rPr>
          <w:rFonts w:hint="eastAsia" w:ascii="仿宋" w:hAnsi="仿宋" w:eastAsia="仿宋"/>
          <w:color w:val="000000"/>
          <w:sz w:val="32"/>
          <w:szCs w:val="32"/>
          <w:lang w:val="en-US" w:eastAsia="zh-CN"/>
        </w:rPr>
        <w:t>54.80万元</w:t>
      </w:r>
      <w:r>
        <w:rPr>
          <w:rFonts w:hint="eastAsia" w:ascii="仿宋" w:hAnsi="仿宋" w:eastAsia="仿宋"/>
          <w:color w:val="000000"/>
          <w:sz w:val="32"/>
          <w:szCs w:val="32"/>
        </w:rPr>
        <w:t>、</w:t>
      </w:r>
      <w:r>
        <w:rPr>
          <w:rFonts w:hint="eastAsia" w:ascii="仿宋" w:hAnsi="仿宋" w:eastAsia="仿宋"/>
          <w:color w:val="000000"/>
          <w:sz w:val="32"/>
          <w:szCs w:val="32"/>
          <w:lang w:val="en-US" w:eastAsia="zh-CN"/>
        </w:rPr>
        <w:t>职工基本医疗保险缴费67.27万元、</w:t>
      </w:r>
      <w:r>
        <w:rPr>
          <w:rFonts w:hint="eastAsia" w:ascii="仿宋" w:hAnsi="仿宋" w:eastAsia="仿宋"/>
          <w:color w:val="000000"/>
          <w:sz w:val="32"/>
          <w:szCs w:val="32"/>
        </w:rPr>
        <w:t>其他社会保障缴费</w:t>
      </w:r>
      <w:r>
        <w:rPr>
          <w:rFonts w:hint="eastAsia" w:ascii="仿宋" w:hAnsi="仿宋" w:eastAsia="仿宋"/>
          <w:color w:val="000000"/>
          <w:sz w:val="32"/>
          <w:szCs w:val="32"/>
          <w:lang w:val="en-US" w:eastAsia="zh-CN"/>
        </w:rPr>
        <w:t>29.51万元</w:t>
      </w:r>
      <w:r>
        <w:rPr>
          <w:rFonts w:hint="eastAsia" w:ascii="仿宋" w:hAnsi="仿宋" w:eastAsia="仿宋"/>
          <w:color w:val="000000"/>
          <w:sz w:val="32"/>
          <w:szCs w:val="32"/>
        </w:rPr>
        <w:t>、其他工资福利支出</w:t>
      </w:r>
      <w:r>
        <w:rPr>
          <w:rFonts w:hint="eastAsia" w:ascii="仿宋" w:hAnsi="仿宋" w:eastAsia="仿宋"/>
          <w:color w:val="000000"/>
          <w:sz w:val="32"/>
          <w:szCs w:val="32"/>
          <w:lang w:val="en-US" w:eastAsia="zh-CN"/>
        </w:rPr>
        <w:t>195.66万元</w:t>
      </w:r>
      <w:r>
        <w:rPr>
          <w:rFonts w:hint="eastAsia" w:ascii="仿宋" w:hAnsi="仿宋" w:eastAsia="仿宋"/>
          <w:color w:val="000000"/>
          <w:sz w:val="32"/>
          <w:szCs w:val="32"/>
        </w:rPr>
        <w:t>、抚恤金</w:t>
      </w:r>
      <w:r>
        <w:rPr>
          <w:rFonts w:hint="eastAsia" w:ascii="仿宋" w:hAnsi="仿宋" w:eastAsia="仿宋"/>
          <w:color w:val="000000"/>
          <w:sz w:val="32"/>
          <w:szCs w:val="32"/>
          <w:lang w:val="en-US" w:eastAsia="zh-CN"/>
        </w:rPr>
        <w:t>8.96万元</w:t>
      </w:r>
      <w:r>
        <w:rPr>
          <w:rFonts w:hint="eastAsia" w:ascii="仿宋" w:hAnsi="仿宋" w:eastAsia="仿宋"/>
          <w:color w:val="000000"/>
          <w:sz w:val="32"/>
          <w:szCs w:val="32"/>
        </w:rPr>
        <w:t>、生活补助</w:t>
      </w:r>
      <w:r>
        <w:rPr>
          <w:rFonts w:hint="eastAsia" w:ascii="仿宋" w:hAnsi="仿宋" w:eastAsia="仿宋"/>
          <w:color w:val="000000"/>
          <w:sz w:val="32"/>
          <w:szCs w:val="32"/>
          <w:lang w:val="en-US" w:eastAsia="zh-CN"/>
        </w:rPr>
        <w:t>21.71万元</w:t>
      </w:r>
      <w:r>
        <w:rPr>
          <w:rFonts w:hint="eastAsia" w:ascii="仿宋" w:hAnsi="仿宋" w:eastAsia="仿宋"/>
          <w:color w:val="000000"/>
          <w:sz w:val="32"/>
          <w:szCs w:val="32"/>
        </w:rPr>
        <w:t>、住房公积金</w:t>
      </w:r>
      <w:r>
        <w:rPr>
          <w:rFonts w:hint="eastAsia" w:ascii="仿宋" w:hAnsi="仿宋" w:eastAsia="仿宋"/>
          <w:color w:val="000000"/>
          <w:sz w:val="32"/>
          <w:szCs w:val="32"/>
          <w:lang w:val="en-US" w:eastAsia="zh-CN"/>
        </w:rPr>
        <w:t>114.11万元等</w:t>
      </w:r>
      <w:r>
        <w:rPr>
          <w:rFonts w:hint="eastAsia" w:ascii="仿宋" w:hAnsi="仿宋" w:eastAsia="仿宋"/>
          <w:color w:val="000000"/>
          <w:sz w:val="32"/>
          <w:szCs w:val="32"/>
        </w:rPr>
        <w:t>。</w:t>
      </w:r>
      <w:r>
        <w:rPr>
          <w:rFonts w:ascii="仿宋" w:hAnsi="仿宋" w:eastAsia="仿宋"/>
          <w:color w:val="000000"/>
          <w:sz w:val="32"/>
          <w:szCs w:val="32"/>
        </w:rPr>
        <w:br w:type="textWrapping"/>
      </w:r>
      <w:r>
        <w:rPr>
          <w:rFonts w:hint="eastAsia" w:ascii="仿宋" w:hAnsi="仿宋" w:eastAsia="仿宋"/>
          <w:color w:val="000000"/>
          <w:sz w:val="32"/>
          <w:szCs w:val="32"/>
        </w:rPr>
        <w:t>　　日常公用经费</w:t>
      </w:r>
      <w:r>
        <w:rPr>
          <w:rFonts w:hint="eastAsia" w:ascii="仿宋" w:hAnsi="仿宋" w:eastAsia="仿宋"/>
          <w:color w:val="000000"/>
          <w:sz w:val="32"/>
          <w:szCs w:val="32"/>
          <w:lang w:val="en-US" w:eastAsia="zh-CN"/>
        </w:rPr>
        <w:t>726.19</w:t>
      </w:r>
      <w:r>
        <w:rPr>
          <w:rFonts w:hint="eastAsia" w:ascii="仿宋" w:hAnsi="仿宋" w:eastAsia="仿宋"/>
          <w:color w:val="000000"/>
          <w:sz w:val="32"/>
          <w:szCs w:val="32"/>
        </w:rPr>
        <w:t>万元，主要包括：办公费</w:t>
      </w:r>
      <w:r>
        <w:rPr>
          <w:rFonts w:hint="eastAsia" w:ascii="仿宋" w:hAnsi="仿宋" w:eastAsia="仿宋"/>
          <w:color w:val="000000"/>
          <w:sz w:val="32"/>
          <w:szCs w:val="32"/>
          <w:lang w:val="en-US" w:eastAsia="zh-CN"/>
        </w:rPr>
        <w:t>21.29万元</w:t>
      </w:r>
      <w:r>
        <w:rPr>
          <w:rFonts w:hint="eastAsia" w:ascii="仿宋" w:hAnsi="仿宋" w:eastAsia="仿宋"/>
          <w:color w:val="000000"/>
          <w:sz w:val="32"/>
          <w:szCs w:val="32"/>
        </w:rPr>
        <w:t>、印刷费</w:t>
      </w:r>
      <w:r>
        <w:rPr>
          <w:rFonts w:hint="eastAsia" w:ascii="仿宋" w:hAnsi="仿宋" w:eastAsia="仿宋"/>
          <w:color w:val="000000"/>
          <w:sz w:val="32"/>
          <w:szCs w:val="32"/>
          <w:lang w:val="en-US" w:eastAsia="zh-CN"/>
        </w:rPr>
        <w:t>5.25万元</w:t>
      </w:r>
      <w:r>
        <w:rPr>
          <w:rFonts w:hint="eastAsia" w:ascii="仿宋" w:hAnsi="仿宋" w:eastAsia="仿宋"/>
          <w:color w:val="000000"/>
          <w:sz w:val="32"/>
          <w:szCs w:val="32"/>
        </w:rPr>
        <w:t>、手续费</w:t>
      </w:r>
      <w:r>
        <w:rPr>
          <w:rFonts w:hint="eastAsia" w:ascii="仿宋" w:hAnsi="仿宋" w:eastAsia="仿宋"/>
          <w:color w:val="000000"/>
          <w:sz w:val="32"/>
          <w:szCs w:val="32"/>
          <w:lang w:val="en-US" w:eastAsia="zh-CN"/>
        </w:rPr>
        <w:t>5.70万元</w:t>
      </w:r>
      <w:r>
        <w:rPr>
          <w:rFonts w:hint="eastAsia" w:ascii="仿宋" w:hAnsi="仿宋" w:eastAsia="仿宋"/>
          <w:color w:val="000000"/>
          <w:sz w:val="32"/>
          <w:szCs w:val="32"/>
        </w:rPr>
        <w:t>、电费</w:t>
      </w:r>
      <w:r>
        <w:rPr>
          <w:rFonts w:hint="eastAsia" w:ascii="仿宋" w:hAnsi="仿宋" w:eastAsia="仿宋"/>
          <w:color w:val="000000"/>
          <w:sz w:val="32"/>
          <w:szCs w:val="32"/>
          <w:lang w:val="en-US" w:eastAsia="zh-CN"/>
        </w:rPr>
        <w:t>50万元</w:t>
      </w:r>
      <w:r>
        <w:rPr>
          <w:rFonts w:hint="eastAsia" w:ascii="仿宋" w:hAnsi="仿宋" w:eastAsia="仿宋"/>
          <w:color w:val="000000"/>
          <w:sz w:val="32"/>
          <w:szCs w:val="32"/>
        </w:rPr>
        <w:t>、邮电费</w:t>
      </w:r>
      <w:r>
        <w:rPr>
          <w:rFonts w:hint="eastAsia" w:ascii="仿宋" w:hAnsi="仿宋" w:eastAsia="仿宋"/>
          <w:color w:val="000000"/>
          <w:sz w:val="32"/>
          <w:szCs w:val="32"/>
          <w:lang w:val="en-US" w:eastAsia="zh-CN"/>
        </w:rPr>
        <w:t>39.97万元</w:t>
      </w:r>
      <w:r>
        <w:rPr>
          <w:rFonts w:hint="eastAsia" w:ascii="仿宋" w:hAnsi="仿宋" w:eastAsia="仿宋"/>
          <w:color w:val="000000"/>
          <w:sz w:val="32"/>
          <w:szCs w:val="32"/>
        </w:rPr>
        <w:t>、物业管理费</w:t>
      </w:r>
      <w:r>
        <w:rPr>
          <w:rFonts w:hint="eastAsia" w:ascii="仿宋" w:hAnsi="仿宋" w:eastAsia="仿宋"/>
          <w:color w:val="000000"/>
          <w:sz w:val="32"/>
          <w:szCs w:val="32"/>
          <w:lang w:val="en-US" w:eastAsia="zh-CN"/>
        </w:rPr>
        <w:t>77.40万元</w:t>
      </w:r>
      <w:r>
        <w:rPr>
          <w:rFonts w:hint="eastAsia" w:ascii="仿宋" w:hAnsi="仿宋" w:eastAsia="仿宋"/>
          <w:color w:val="000000"/>
          <w:sz w:val="32"/>
          <w:szCs w:val="32"/>
        </w:rPr>
        <w:t>、差旅费</w:t>
      </w:r>
      <w:r>
        <w:rPr>
          <w:rFonts w:hint="eastAsia" w:ascii="仿宋" w:hAnsi="仿宋" w:eastAsia="仿宋"/>
          <w:color w:val="000000"/>
          <w:sz w:val="32"/>
          <w:szCs w:val="32"/>
          <w:lang w:val="en-US" w:eastAsia="zh-CN"/>
        </w:rPr>
        <w:t>68.43万元</w:t>
      </w:r>
      <w:r>
        <w:rPr>
          <w:rFonts w:hint="eastAsia" w:ascii="仿宋" w:hAnsi="仿宋" w:eastAsia="仿宋"/>
          <w:color w:val="000000"/>
          <w:sz w:val="32"/>
          <w:szCs w:val="32"/>
        </w:rPr>
        <w:t>、维修（护）费</w:t>
      </w:r>
      <w:r>
        <w:rPr>
          <w:rFonts w:hint="eastAsia" w:ascii="仿宋" w:hAnsi="仿宋" w:eastAsia="仿宋"/>
          <w:color w:val="000000"/>
          <w:sz w:val="32"/>
          <w:szCs w:val="32"/>
          <w:lang w:val="en-US" w:eastAsia="zh-CN"/>
        </w:rPr>
        <w:t>60.14万元</w:t>
      </w:r>
      <w:r>
        <w:rPr>
          <w:rFonts w:hint="eastAsia" w:ascii="仿宋" w:hAnsi="仿宋" w:eastAsia="仿宋"/>
          <w:color w:val="000000"/>
          <w:sz w:val="32"/>
          <w:szCs w:val="32"/>
        </w:rPr>
        <w:t>、租赁费</w:t>
      </w:r>
      <w:r>
        <w:rPr>
          <w:rFonts w:hint="eastAsia" w:ascii="仿宋" w:hAnsi="仿宋" w:eastAsia="仿宋"/>
          <w:color w:val="000000"/>
          <w:sz w:val="32"/>
          <w:szCs w:val="32"/>
          <w:lang w:val="en-US" w:eastAsia="zh-CN"/>
        </w:rPr>
        <w:t>2.96万元</w:t>
      </w:r>
      <w:r>
        <w:rPr>
          <w:rFonts w:hint="eastAsia" w:ascii="仿宋" w:hAnsi="仿宋" w:eastAsia="仿宋"/>
          <w:color w:val="000000"/>
          <w:sz w:val="32"/>
          <w:szCs w:val="32"/>
        </w:rPr>
        <w:t>、培训费</w:t>
      </w:r>
      <w:r>
        <w:rPr>
          <w:rFonts w:hint="eastAsia" w:ascii="仿宋" w:hAnsi="仿宋" w:eastAsia="仿宋"/>
          <w:color w:val="000000"/>
          <w:sz w:val="32"/>
          <w:szCs w:val="32"/>
          <w:lang w:val="en-US" w:eastAsia="zh-CN"/>
        </w:rPr>
        <w:t>34.41万元</w:t>
      </w:r>
      <w:r>
        <w:rPr>
          <w:rFonts w:hint="eastAsia" w:ascii="仿宋" w:hAnsi="仿宋" w:eastAsia="仿宋"/>
          <w:color w:val="000000"/>
          <w:sz w:val="32"/>
          <w:szCs w:val="32"/>
        </w:rPr>
        <w:t>、公务接待费</w:t>
      </w:r>
      <w:r>
        <w:rPr>
          <w:rFonts w:hint="eastAsia" w:ascii="仿宋" w:hAnsi="仿宋" w:eastAsia="仿宋"/>
          <w:color w:val="000000"/>
          <w:sz w:val="32"/>
          <w:szCs w:val="32"/>
          <w:lang w:val="en-US" w:eastAsia="zh-CN"/>
        </w:rPr>
        <w:t>41.15万元</w:t>
      </w:r>
      <w:r>
        <w:rPr>
          <w:rFonts w:hint="eastAsia" w:ascii="仿宋" w:hAnsi="仿宋" w:eastAsia="仿宋"/>
          <w:color w:val="000000"/>
          <w:sz w:val="32"/>
          <w:szCs w:val="32"/>
        </w:rPr>
        <w:t>、</w:t>
      </w:r>
      <w:r>
        <w:rPr>
          <w:rFonts w:hint="eastAsia" w:ascii="仿宋" w:hAnsi="仿宋" w:eastAsia="仿宋"/>
          <w:color w:val="000000"/>
          <w:sz w:val="32"/>
          <w:szCs w:val="32"/>
          <w:lang w:val="en-US" w:eastAsia="zh-CN"/>
        </w:rPr>
        <w:t>专用材料费40.89万元、</w:t>
      </w:r>
      <w:r>
        <w:rPr>
          <w:rFonts w:hint="eastAsia" w:ascii="仿宋" w:hAnsi="仿宋" w:eastAsia="仿宋"/>
          <w:color w:val="000000"/>
          <w:sz w:val="32"/>
          <w:szCs w:val="32"/>
        </w:rPr>
        <w:t>劳务费</w:t>
      </w:r>
      <w:r>
        <w:rPr>
          <w:rFonts w:hint="eastAsia" w:ascii="仿宋" w:hAnsi="仿宋" w:eastAsia="仿宋"/>
          <w:color w:val="000000"/>
          <w:sz w:val="32"/>
          <w:szCs w:val="32"/>
          <w:lang w:val="en-US" w:eastAsia="zh-CN"/>
        </w:rPr>
        <w:t>0.76万元</w:t>
      </w:r>
      <w:r>
        <w:rPr>
          <w:rFonts w:hint="eastAsia" w:ascii="仿宋" w:hAnsi="仿宋" w:eastAsia="仿宋"/>
          <w:color w:val="000000"/>
          <w:sz w:val="32"/>
          <w:szCs w:val="32"/>
        </w:rPr>
        <w:t>、委托业务费</w:t>
      </w:r>
      <w:r>
        <w:rPr>
          <w:rFonts w:hint="eastAsia" w:ascii="仿宋" w:hAnsi="仿宋" w:eastAsia="仿宋"/>
          <w:color w:val="000000"/>
          <w:sz w:val="32"/>
          <w:szCs w:val="32"/>
          <w:lang w:val="en-US" w:eastAsia="zh-CN"/>
        </w:rPr>
        <w:t>60.44万元</w:t>
      </w:r>
      <w:r>
        <w:rPr>
          <w:rFonts w:hint="eastAsia" w:ascii="仿宋" w:hAnsi="仿宋" w:eastAsia="仿宋"/>
          <w:color w:val="000000"/>
          <w:sz w:val="32"/>
          <w:szCs w:val="32"/>
        </w:rPr>
        <w:t>、福利费</w:t>
      </w:r>
      <w:r>
        <w:rPr>
          <w:rFonts w:hint="eastAsia" w:ascii="仿宋" w:hAnsi="仿宋" w:eastAsia="仿宋"/>
          <w:color w:val="000000"/>
          <w:sz w:val="32"/>
          <w:szCs w:val="32"/>
          <w:lang w:val="en-US" w:eastAsia="zh-CN"/>
        </w:rPr>
        <w:t>16.65万元</w:t>
      </w:r>
      <w:r>
        <w:rPr>
          <w:rFonts w:hint="eastAsia" w:ascii="仿宋" w:hAnsi="仿宋" w:eastAsia="仿宋"/>
          <w:color w:val="000000"/>
          <w:sz w:val="32"/>
          <w:szCs w:val="32"/>
        </w:rPr>
        <w:t>、公务用车运行维护费</w:t>
      </w:r>
      <w:r>
        <w:rPr>
          <w:rFonts w:hint="eastAsia" w:ascii="仿宋" w:hAnsi="仿宋" w:eastAsia="仿宋"/>
          <w:color w:val="000000"/>
          <w:sz w:val="32"/>
          <w:szCs w:val="32"/>
          <w:lang w:val="en-US" w:eastAsia="zh-CN"/>
        </w:rPr>
        <w:t>93.62万元</w:t>
      </w:r>
      <w:r>
        <w:rPr>
          <w:rFonts w:hint="eastAsia" w:ascii="仿宋" w:hAnsi="仿宋" w:eastAsia="仿宋"/>
          <w:color w:val="000000"/>
          <w:sz w:val="32"/>
          <w:szCs w:val="32"/>
        </w:rPr>
        <w:t>、其他交通费</w:t>
      </w:r>
      <w:r>
        <w:rPr>
          <w:rFonts w:hint="eastAsia" w:ascii="仿宋" w:hAnsi="仿宋" w:eastAsia="仿宋"/>
          <w:color w:val="000000"/>
          <w:sz w:val="32"/>
          <w:szCs w:val="32"/>
          <w:lang w:val="en-US" w:eastAsia="zh-CN"/>
        </w:rPr>
        <w:t>1.18万元</w:t>
      </w:r>
      <w:r>
        <w:rPr>
          <w:rFonts w:hint="eastAsia" w:ascii="仿宋" w:hAnsi="仿宋" w:eastAsia="仿宋"/>
          <w:color w:val="000000"/>
          <w:sz w:val="32"/>
          <w:szCs w:val="32"/>
        </w:rPr>
        <w:t>、其他商品和服务支出</w:t>
      </w:r>
      <w:r>
        <w:rPr>
          <w:rFonts w:hint="eastAsia" w:ascii="仿宋" w:hAnsi="仿宋" w:eastAsia="仿宋"/>
          <w:color w:val="000000"/>
          <w:sz w:val="32"/>
          <w:szCs w:val="32"/>
          <w:lang w:val="en-US" w:eastAsia="zh-CN"/>
        </w:rPr>
        <w:t>30万元</w:t>
      </w:r>
      <w:r>
        <w:rPr>
          <w:rFonts w:hint="eastAsia" w:ascii="仿宋" w:hAnsi="仿宋" w:eastAsia="仿宋"/>
          <w:color w:val="000000"/>
          <w:sz w:val="32"/>
          <w:szCs w:val="32"/>
        </w:rPr>
        <w:t>、办公设备购置</w:t>
      </w:r>
      <w:r>
        <w:rPr>
          <w:rFonts w:hint="eastAsia" w:ascii="仿宋" w:hAnsi="仿宋" w:eastAsia="仿宋"/>
          <w:color w:val="000000"/>
          <w:sz w:val="32"/>
          <w:szCs w:val="32"/>
          <w:lang w:val="en-US" w:eastAsia="zh-CN"/>
        </w:rPr>
        <w:t>9.01万元</w:t>
      </w:r>
      <w:r>
        <w:rPr>
          <w:rFonts w:hint="eastAsia" w:ascii="仿宋" w:hAnsi="仿宋" w:eastAsia="仿宋"/>
          <w:color w:val="000000"/>
          <w:sz w:val="32"/>
          <w:szCs w:val="32"/>
        </w:rPr>
        <w:t>、专用设备购置</w:t>
      </w:r>
      <w:r>
        <w:rPr>
          <w:rFonts w:hint="eastAsia" w:ascii="仿宋" w:hAnsi="仿宋" w:eastAsia="仿宋"/>
          <w:color w:val="000000"/>
          <w:sz w:val="32"/>
          <w:szCs w:val="32"/>
          <w:lang w:val="en-US" w:eastAsia="zh-CN"/>
        </w:rPr>
        <w:t>6.33万元</w:t>
      </w:r>
      <w:r>
        <w:rPr>
          <w:rFonts w:hint="eastAsia" w:ascii="仿宋" w:hAnsi="仿宋" w:eastAsia="仿宋"/>
          <w:color w:val="000000"/>
          <w:sz w:val="32"/>
          <w:szCs w:val="32"/>
        </w:rPr>
        <w:t>、</w:t>
      </w:r>
      <w:r>
        <w:rPr>
          <w:rFonts w:hint="eastAsia" w:ascii="仿宋" w:hAnsi="仿宋" w:eastAsia="仿宋"/>
          <w:color w:val="000000"/>
          <w:sz w:val="32"/>
          <w:szCs w:val="32"/>
          <w:lang w:val="en-US" w:eastAsia="zh-CN"/>
        </w:rPr>
        <w:t>公务用车购置60.61万元</w:t>
      </w:r>
      <w:r>
        <w:rPr>
          <w:rFonts w:hint="eastAsia" w:ascii="仿宋" w:hAnsi="仿宋" w:eastAsia="仿宋"/>
          <w:color w:val="000000"/>
          <w:sz w:val="32"/>
          <w:szCs w:val="32"/>
        </w:rPr>
        <w:t>等。</w:t>
      </w:r>
    </w:p>
    <w:p>
      <w:pPr>
        <w:pageBreakBefore w:val="0"/>
        <w:kinsoku/>
        <w:wordWrap/>
        <w:overflowPunct/>
        <w:topLinePunct w:val="0"/>
        <w:bidi w:val="0"/>
        <w:spacing w:line="480" w:lineRule="exact"/>
        <w:ind w:firstLine="640"/>
        <w:outlineLvl w:val="1"/>
        <w:rPr>
          <w:rStyle w:val="24"/>
          <w:rFonts w:ascii="黑体" w:hAnsi="黑体" w:eastAsia="黑体"/>
          <w:b w:val="0"/>
        </w:rPr>
      </w:pPr>
      <w:bookmarkStart w:id="72" w:name="_Toc79163619"/>
      <w:bookmarkStart w:id="73" w:name="_Toc79163869"/>
      <w:bookmarkStart w:id="74" w:name="_Toc15396609"/>
      <w:bookmarkStart w:id="75" w:name="_Toc15377215"/>
      <w:r>
        <w:rPr>
          <w:rFonts w:hint="eastAsia" w:ascii="黑体" w:eastAsia="黑体"/>
          <w:color w:val="000000"/>
          <w:sz w:val="32"/>
          <w:szCs w:val="32"/>
        </w:rPr>
        <w:t>七、</w:t>
      </w:r>
      <w:r>
        <w:rPr>
          <w:rStyle w:val="24"/>
          <w:rFonts w:hint="eastAsia" w:ascii="黑体" w:hAnsi="黑体" w:eastAsia="黑体"/>
        </w:rPr>
        <w:t>“</w:t>
      </w:r>
      <w:r>
        <w:rPr>
          <w:rStyle w:val="24"/>
          <w:rFonts w:hint="eastAsia" w:ascii="黑体" w:hAnsi="黑体" w:eastAsia="黑体"/>
          <w:b w:val="0"/>
        </w:rPr>
        <w:t>三公”经费财政拨款支出决算情况说明</w:t>
      </w:r>
      <w:bookmarkEnd w:id="72"/>
      <w:bookmarkEnd w:id="73"/>
      <w:bookmarkEnd w:id="74"/>
      <w:bookmarkEnd w:id="75"/>
    </w:p>
    <w:p>
      <w:pPr>
        <w:pageBreakBefore w:val="0"/>
        <w:kinsoku/>
        <w:wordWrap/>
        <w:overflowPunct/>
        <w:topLinePunct w:val="0"/>
        <w:bidi w:val="0"/>
        <w:spacing w:line="480" w:lineRule="exact"/>
        <w:ind w:firstLine="640"/>
        <w:outlineLvl w:val="2"/>
        <w:rPr>
          <w:rFonts w:ascii="仿宋" w:hAnsi="仿宋" w:eastAsia="仿宋"/>
          <w:b/>
          <w:color w:val="000000"/>
          <w:sz w:val="32"/>
          <w:szCs w:val="32"/>
        </w:rPr>
      </w:pPr>
      <w:bookmarkStart w:id="76" w:name="_Toc79163620"/>
      <w:bookmarkStart w:id="77" w:name="_Toc15377216"/>
      <w:bookmarkStart w:id="78" w:name="_Toc79163870"/>
      <w:r>
        <w:rPr>
          <w:rFonts w:hint="eastAsia" w:ascii="仿宋" w:hAnsi="仿宋" w:eastAsia="仿宋"/>
          <w:b/>
          <w:color w:val="000000"/>
          <w:sz w:val="32"/>
          <w:szCs w:val="32"/>
        </w:rPr>
        <w:t>（一）“三公”经费财政拨款支出决算总体情况说明</w:t>
      </w:r>
      <w:bookmarkEnd w:id="76"/>
      <w:bookmarkEnd w:id="77"/>
      <w:bookmarkEnd w:id="78"/>
    </w:p>
    <w:p>
      <w:pPr>
        <w:pageBreakBefore w:val="0"/>
        <w:kinsoku/>
        <w:wordWrap/>
        <w:overflowPunct/>
        <w:topLinePunct w:val="0"/>
        <w:bidi w:val="0"/>
        <w:spacing w:line="480" w:lineRule="exact"/>
        <w:ind w:firstLine="640"/>
        <w:rPr>
          <w:rFonts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年“三公”经费财政拨款支出决算为</w:t>
      </w:r>
      <w:r>
        <w:rPr>
          <w:rFonts w:hint="eastAsia" w:ascii="仿宋" w:hAnsi="仿宋" w:eastAsia="仿宋"/>
          <w:color w:val="000000"/>
          <w:sz w:val="32"/>
          <w:szCs w:val="32"/>
          <w:lang w:val="en-US" w:eastAsia="zh-CN"/>
        </w:rPr>
        <w:t>195.38</w:t>
      </w:r>
      <w:r>
        <w:rPr>
          <w:rFonts w:hint="eastAsia" w:ascii="仿宋" w:hAnsi="仿宋" w:eastAsia="仿宋"/>
          <w:color w:val="000000"/>
          <w:sz w:val="32"/>
          <w:szCs w:val="32"/>
        </w:rPr>
        <w:t>万元，完成预算</w:t>
      </w:r>
      <w:r>
        <w:rPr>
          <w:rFonts w:hint="eastAsia" w:ascii="仿宋" w:hAnsi="仿宋" w:eastAsia="仿宋"/>
          <w:color w:val="000000"/>
          <w:sz w:val="32"/>
          <w:szCs w:val="32"/>
          <w:lang w:val="en-US" w:eastAsia="zh-CN"/>
        </w:rPr>
        <w:t xml:space="preserve">100 </w:t>
      </w:r>
      <w:r>
        <w:rPr>
          <w:rFonts w:ascii="仿宋" w:hAnsi="仿宋" w:eastAsia="仿宋"/>
          <w:color w:val="000000"/>
          <w:sz w:val="32"/>
          <w:szCs w:val="32"/>
        </w:rPr>
        <w:t>%</w:t>
      </w:r>
      <w:r>
        <w:rPr>
          <w:rFonts w:hint="eastAsia" w:ascii="仿宋" w:hAnsi="仿宋" w:eastAsia="仿宋"/>
          <w:color w:val="000000"/>
          <w:sz w:val="32"/>
          <w:szCs w:val="32"/>
        </w:rPr>
        <w:t>，决算数与预算数持平。</w:t>
      </w:r>
    </w:p>
    <w:p>
      <w:pPr>
        <w:pageBreakBefore w:val="0"/>
        <w:kinsoku/>
        <w:wordWrap/>
        <w:overflowPunct/>
        <w:topLinePunct w:val="0"/>
        <w:bidi w:val="0"/>
        <w:spacing w:line="480" w:lineRule="exact"/>
        <w:ind w:firstLine="640"/>
        <w:outlineLvl w:val="2"/>
        <w:rPr>
          <w:rFonts w:ascii="仿宋" w:hAnsi="仿宋" w:eastAsia="仿宋"/>
          <w:b/>
          <w:color w:val="000000"/>
          <w:sz w:val="32"/>
          <w:szCs w:val="32"/>
        </w:rPr>
      </w:pPr>
      <w:bookmarkStart w:id="79" w:name="_Toc79163871"/>
      <w:bookmarkStart w:id="80" w:name="_Toc79163621"/>
      <w:bookmarkStart w:id="81" w:name="_Toc15377217"/>
      <w:r>
        <w:rPr>
          <w:rFonts w:hint="eastAsia" w:ascii="仿宋" w:hAnsi="仿宋" w:eastAsia="仿宋"/>
          <w:b/>
          <w:color w:val="000000"/>
          <w:sz w:val="32"/>
          <w:szCs w:val="32"/>
        </w:rPr>
        <w:t>（二）“三公”经费财政拨款支出决算具体情况说明</w:t>
      </w:r>
      <w:bookmarkEnd w:id="79"/>
      <w:bookmarkEnd w:id="80"/>
      <w:bookmarkEnd w:id="81"/>
    </w:p>
    <w:p>
      <w:pPr>
        <w:pageBreakBefore w:val="0"/>
        <w:kinsoku/>
        <w:wordWrap/>
        <w:overflowPunct/>
        <w:topLinePunct w:val="0"/>
        <w:bidi w:val="0"/>
        <w:spacing w:line="480" w:lineRule="exact"/>
        <w:ind w:firstLine="640"/>
        <w:rPr>
          <w:rFonts w:hint="eastAsia" w:ascii="仿宋" w:hAnsi="仿宋" w:eastAsia="仿宋"/>
          <w:color w:val="000000"/>
          <w:sz w:val="32"/>
          <w:szCs w:val="32"/>
        </w:rPr>
      </w:pPr>
      <w:r>
        <w:rPr>
          <w:rFonts w:ascii="仿宋" w:hAnsi="仿宋" w:eastAsia="仿宋"/>
          <w:color w:val="000000"/>
          <w:sz w:val="32"/>
          <w:szCs w:val="32"/>
        </w:rPr>
        <w:t>2020</w:t>
      </w:r>
      <w:r>
        <w:rPr>
          <w:rFonts w:hint="eastAsia" w:ascii="仿宋" w:hAnsi="仿宋" w:eastAsia="仿宋"/>
          <w:color w:val="000000"/>
          <w:sz w:val="32"/>
          <w:szCs w:val="32"/>
        </w:rPr>
        <w:t>年“三公”经费财政拨款支出决算中，因公出国（境）费支出决算</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；公务用车购置及运行维护费支出决算</w:t>
      </w:r>
      <w:r>
        <w:rPr>
          <w:rFonts w:hint="eastAsia" w:ascii="仿宋" w:hAnsi="仿宋" w:eastAsia="仿宋"/>
          <w:color w:val="000000"/>
          <w:sz w:val="32"/>
          <w:szCs w:val="32"/>
          <w:lang w:val="en-US" w:eastAsia="zh-CN"/>
        </w:rPr>
        <w:t>154.23</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78.94</w:t>
      </w:r>
      <w:r>
        <w:rPr>
          <w:rFonts w:ascii="仿宋" w:hAnsi="仿宋" w:eastAsia="仿宋"/>
          <w:color w:val="000000"/>
          <w:sz w:val="32"/>
          <w:szCs w:val="32"/>
        </w:rPr>
        <w:t>%</w:t>
      </w:r>
      <w:r>
        <w:rPr>
          <w:rFonts w:hint="eastAsia" w:ascii="仿宋" w:hAnsi="仿宋" w:eastAsia="仿宋"/>
          <w:color w:val="000000"/>
          <w:sz w:val="32"/>
          <w:szCs w:val="32"/>
        </w:rPr>
        <w:t>；公务接待费支出决算</w:t>
      </w:r>
      <w:r>
        <w:rPr>
          <w:rFonts w:hint="eastAsia" w:ascii="仿宋" w:hAnsi="仿宋" w:eastAsia="仿宋"/>
          <w:color w:val="000000"/>
          <w:sz w:val="32"/>
          <w:szCs w:val="32"/>
          <w:lang w:val="en-US" w:eastAsia="zh-CN"/>
        </w:rPr>
        <w:t>41.15</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21.06</w:t>
      </w:r>
      <w:r>
        <w:rPr>
          <w:rFonts w:ascii="仿宋" w:hAnsi="仿宋" w:eastAsia="仿宋"/>
          <w:color w:val="000000"/>
          <w:sz w:val="32"/>
          <w:szCs w:val="32"/>
        </w:rPr>
        <w:t>%</w:t>
      </w:r>
      <w:r>
        <w:rPr>
          <w:rFonts w:hint="eastAsia" w:ascii="仿宋" w:hAnsi="仿宋" w:eastAsia="仿宋"/>
          <w:color w:val="000000"/>
          <w:sz w:val="32"/>
          <w:szCs w:val="32"/>
        </w:rPr>
        <w:t>。具体情况如下：</w:t>
      </w:r>
    </w:p>
    <w:p>
      <w:pPr>
        <w:pageBreakBefore w:val="0"/>
        <w:kinsoku/>
        <w:wordWrap/>
        <w:overflowPunct/>
        <w:topLinePunct w:val="0"/>
        <w:bidi w:val="0"/>
        <w:spacing w:line="480" w:lineRule="exact"/>
        <w:ind w:firstLine="848" w:firstLineChars="404"/>
        <w:rPr>
          <w:rFonts w:hint="eastAsia" w:ascii="仿宋" w:hAnsi="仿宋" w:eastAsia="仿宋"/>
          <w:color w:val="000000"/>
          <w:sz w:val="32"/>
          <w:szCs w:val="32"/>
        </w:rPr>
      </w:pPr>
      <w:r>
        <w:drawing>
          <wp:anchor distT="0" distB="0" distL="114300" distR="114300" simplePos="0" relativeHeight="251665408" behindDoc="0" locked="0" layoutInCell="1" allowOverlap="1">
            <wp:simplePos x="0" y="0"/>
            <wp:positionH relativeFrom="column">
              <wp:posOffset>562610</wp:posOffset>
            </wp:positionH>
            <wp:positionV relativeFrom="paragraph">
              <wp:posOffset>156845</wp:posOffset>
            </wp:positionV>
            <wp:extent cx="3543935" cy="2086610"/>
            <wp:effectExtent l="5080" t="4445" r="13335" b="23495"/>
            <wp:wrapSquare wrapText="bothSides"/>
            <wp:docPr id="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pageBreakBefore w:val="0"/>
        <w:kinsoku/>
        <w:wordWrap/>
        <w:overflowPunct/>
        <w:topLinePunct w:val="0"/>
        <w:bidi w:val="0"/>
        <w:spacing w:line="480" w:lineRule="exact"/>
        <w:ind w:firstLine="1292" w:firstLineChars="404"/>
        <w:rPr>
          <w:rFonts w:hint="eastAsia" w:ascii="仿宋" w:hAnsi="仿宋" w:eastAsia="仿宋"/>
          <w:color w:val="000000"/>
          <w:sz w:val="32"/>
          <w:szCs w:val="32"/>
        </w:rPr>
      </w:pPr>
    </w:p>
    <w:p>
      <w:pPr>
        <w:pageBreakBefore w:val="0"/>
        <w:kinsoku/>
        <w:wordWrap/>
        <w:overflowPunct/>
        <w:topLinePunct w:val="0"/>
        <w:bidi w:val="0"/>
        <w:spacing w:line="480" w:lineRule="exact"/>
        <w:ind w:firstLine="1292" w:firstLineChars="404"/>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7</w:t>
      </w:r>
      <w:r>
        <w:rPr>
          <w:rFonts w:hint="eastAsia" w:ascii="仿宋" w:hAnsi="仿宋" w:eastAsia="仿宋"/>
          <w:color w:val="000000"/>
          <w:sz w:val="32"/>
          <w:szCs w:val="32"/>
        </w:rPr>
        <w:t>：“三公”经费财政拨款支出结构）</w:t>
      </w:r>
    </w:p>
    <w:p>
      <w:pPr>
        <w:pageBreakBefore w:val="0"/>
        <w:kinsoku/>
        <w:wordWrap/>
        <w:overflowPunct/>
        <w:topLinePunct w:val="0"/>
        <w:bidi w:val="0"/>
        <w:spacing w:line="480" w:lineRule="exact"/>
        <w:ind w:firstLine="640"/>
        <w:rPr>
          <w:rFonts w:ascii="仿宋_GB2312" w:eastAsia="仿宋_GB2312"/>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Style w:val="21"/>
          <w:rFonts w:hint="eastAsia" w:ascii="仿宋" w:hAnsi="仿宋" w:eastAsia="仿宋"/>
          <w:b w:val="0"/>
          <w:bCs/>
          <w:color w:val="000000"/>
          <w:sz w:val="32"/>
          <w:szCs w:val="32"/>
        </w:rPr>
        <w:t>完成预算</w:t>
      </w:r>
      <w:r>
        <w:rPr>
          <w:rStyle w:val="21"/>
          <w:rFonts w:hint="eastAsia" w:ascii="仿宋" w:hAnsi="仿宋" w:eastAsia="仿宋"/>
          <w:b w:val="0"/>
          <w:bCs/>
          <w:color w:val="000000"/>
          <w:sz w:val="32"/>
          <w:szCs w:val="32"/>
          <w:lang w:val="en-US" w:eastAsia="zh-CN"/>
        </w:rPr>
        <w:t>100</w:t>
      </w:r>
      <w:r>
        <w:rPr>
          <w:rStyle w:val="21"/>
          <w:rFonts w:ascii="仿宋" w:hAnsi="仿宋" w:eastAsia="仿宋"/>
          <w:b w:val="0"/>
          <w:bCs/>
          <w:color w:val="000000"/>
          <w:sz w:val="32"/>
          <w:szCs w:val="32"/>
        </w:rPr>
        <w:t>%</w:t>
      </w:r>
      <w:r>
        <w:rPr>
          <w:rStyle w:val="21"/>
          <w:rFonts w:hint="eastAsia" w:ascii="仿宋" w:hAnsi="仿宋" w:eastAsia="仿宋"/>
          <w:b w:val="0"/>
          <w:bCs/>
          <w:color w:val="000000"/>
          <w:sz w:val="32"/>
          <w:szCs w:val="32"/>
        </w:rPr>
        <w:t>。</w:t>
      </w:r>
      <w:r>
        <w:rPr>
          <w:rFonts w:hint="eastAsia" w:ascii="仿宋_GB2312" w:eastAsia="仿宋_GB2312"/>
          <w:color w:val="000000"/>
          <w:sz w:val="32"/>
          <w:szCs w:val="32"/>
        </w:rPr>
        <w:t>全年安排因公出国（境）团组</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次，出国（境）</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人。因公出国（境）支出决算比</w:t>
      </w:r>
      <w:r>
        <w:rPr>
          <w:rFonts w:ascii="仿宋_GB2312" w:eastAsia="仿宋_GB2312"/>
          <w:color w:val="000000"/>
          <w:sz w:val="32"/>
          <w:szCs w:val="32"/>
        </w:rPr>
        <w:t>201</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年</w:t>
      </w:r>
      <w:r>
        <w:rPr>
          <w:rFonts w:hint="eastAsia" w:ascii="仿宋_GB2312" w:eastAsia="仿宋_GB2312"/>
          <w:color w:val="000000"/>
          <w:sz w:val="32"/>
          <w:szCs w:val="32"/>
          <w:lang w:val="en-US" w:eastAsia="zh-CN"/>
        </w:rPr>
        <w:t>持平。</w:t>
      </w:r>
    </w:p>
    <w:p>
      <w:pPr>
        <w:pageBreakBefore w:val="0"/>
        <w:kinsoku/>
        <w:wordWrap/>
        <w:overflowPunct/>
        <w:topLinePunct w:val="0"/>
        <w:bidi w:val="0"/>
        <w:spacing w:line="480" w:lineRule="exact"/>
        <w:ind w:firstLine="640"/>
        <w:rPr>
          <w:rFonts w:hint="eastAsia" w:ascii="仿宋_GB2312" w:eastAsia="仿宋_GB2312"/>
          <w:b/>
          <w:color w:val="000000"/>
          <w:sz w:val="32"/>
          <w:szCs w:val="32"/>
          <w:lang w:val="en-US" w:eastAsia="zh-CN"/>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lang w:val="en-US" w:eastAsia="zh-CN"/>
        </w:rPr>
        <w:t>154.23</w:t>
      </w:r>
      <w:r>
        <w:rPr>
          <w:rFonts w:hint="eastAsia" w:ascii="仿宋_GB2312" w:eastAsia="仿宋_GB2312"/>
          <w:color w:val="000000"/>
          <w:sz w:val="32"/>
          <w:szCs w:val="32"/>
        </w:rPr>
        <w:t>万元</w:t>
      </w:r>
      <w:r>
        <w:rPr>
          <w:rFonts w:ascii="仿宋_GB2312" w:eastAsia="仿宋_GB2312"/>
          <w:color w:val="000000"/>
          <w:sz w:val="32"/>
          <w:szCs w:val="32"/>
        </w:rPr>
        <w:t>,</w:t>
      </w:r>
      <w:r>
        <w:rPr>
          <w:rStyle w:val="21"/>
          <w:rFonts w:hint="eastAsia" w:ascii="仿宋" w:hAnsi="仿宋" w:eastAsia="仿宋"/>
          <w:b w:val="0"/>
          <w:bCs/>
          <w:color w:val="000000"/>
          <w:sz w:val="32"/>
          <w:szCs w:val="32"/>
        </w:rPr>
        <w:t>完成预算</w:t>
      </w:r>
      <w:r>
        <w:rPr>
          <w:rStyle w:val="21"/>
          <w:rFonts w:hint="eastAsia" w:ascii="仿宋" w:hAnsi="仿宋" w:eastAsia="仿宋"/>
          <w:b w:val="0"/>
          <w:bCs/>
          <w:color w:val="000000"/>
          <w:sz w:val="32"/>
          <w:szCs w:val="32"/>
          <w:lang w:val="en-US" w:eastAsia="zh-CN"/>
        </w:rPr>
        <w:t>100</w:t>
      </w:r>
      <w:r>
        <w:rPr>
          <w:rStyle w:val="21"/>
          <w:rFonts w:ascii="仿宋" w:hAnsi="仿宋" w:eastAsia="仿宋"/>
          <w:b w:val="0"/>
          <w:bCs/>
          <w:color w:val="000000"/>
          <w:sz w:val="32"/>
          <w:szCs w:val="32"/>
        </w:rPr>
        <w:t>%</w:t>
      </w:r>
      <w:r>
        <w:rPr>
          <w:rStyle w:val="21"/>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hint="eastAsia" w:ascii="仿宋_GB2312" w:eastAsia="仿宋_GB2312"/>
          <w:color w:val="000000"/>
          <w:sz w:val="32"/>
          <w:szCs w:val="32"/>
          <w:lang w:val="en-US" w:eastAsia="zh-CN"/>
        </w:rPr>
        <w:t>2019</w:t>
      </w:r>
      <w:r>
        <w:rPr>
          <w:rFonts w:hint="eastAsia" w:ascii="仿宋_GB2312" w:eastAsia="仿宋_GB2312"/>
          <w:color w:val="000000"/>
          <w:sz w:val="32"/>
          <w:szCs w:val="32"/>
        </w:rPr>
        <w:t>年增加</w:t>
      </w:r>
      <w:r>
        <w:rPr>
          <w:rFonts w:hint="eastAsia" w:ascii="仿宋_GB2312" w:eastAsia="仿宋_GB2312"/>
          <w:color w:val="000000"/>
          <w:sz w:val="32"/>
          <w:szCs w:val="32"/>
          <w:lang w:val="en-US" w:eastAsia="zh-CN"/>
        </w:rPr>
        <w:t>66.22</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42.94</w:t>
      </w:r>
      <w:r>
        <w:rPr>
          <w:rFonts w:ascii="仿宋_GB2312" w:eastAsia="仿宋_GB2312"/>
          <w:color w:val="000000"/>
          <w:sz w:val="32"/>
          <w:szCs w:val="32"/>
        </w:rPr>
        <w:t>%</w:t>
      </w:r>
      <w:r>
        <w:rPr>
          <w:rFonts w:hint="eastAsia" w:ascii="仿宋_GB2312" w:eastAsia="仿宋_GB2312"/>
          <w:color w:val="000000"/>
          <w:sz w:val="32"/>
          <w:szCs w:val="32"/>
        </w:rPr>
        <w:t>。主要原因</w:t>
      </w:r>
      <w:r>
        <w:rPr>
          <w:rFonts w:hint="eastAsia" w:ascii="仿宋_GB2312" w:eastAsia="仿宋_GB2312"/>
          <w:color w:val="000000"/>
          <w:sz w:val="32"/>
          <w:szCs w:val="32"/>
          <w:lang w:val="en-US" w:eastAsia="zh-CN"/>
        </w:rPr>
        <w:t>是我局根据阿车改管办【2020】82号文件批复更新一辆排气量3.5升以下，价格60万元以内的国产越野型公务用车。</w:t>
      </w:r>
    </w:p>
    <w:p>
      <w:pPr>
        <w:pageBreakBefore w:val="0"/>
        <w:kinsoku/>
        <w:wordWrap/>
        <w:overflowPunct/>
        <w:topLinePunct w:val="0"/>
        <w:bidi w:val="0"/>
        <w:spacing w:line="480" w:lineRule="exact"/>
        <w:ind w:firstLine="640" w:firstLineChars="200"/>
        <w:rPr>
          <w:rFonts w:hint="eastAsia" w:ascii="仿宋_GB2312" w:eastAsia="仿宋_GB2312"/>
          <w:b/>
          <w:color w:val="000000"/>
          <w:sz w:val="32"/>
          <w:szCs w:val="32"/>
          <w:lang w:eastAsia="zh-CN"/>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color w:val="000000"/>
          <w:sz w:val="32"/>
          <w:szCs w:val="32"/>
          <w:lang w:val="en-US" w:eastAsia="zh-CN"/>
        </w:rPr>
        <w:t>60.61</w:t>
      </w:r>
      <w:r>
        <w:rPr>
          <w:rFonts w:hint="eastAsia" w:ascii="仿宋_GB2312" w:eastAsia="仿宋_GB2312"/>
          <w:color w:val="000000"/>
          <w:sz w:val="32"/>
          <w:szCs w:val="32"/>
        </w:rPr>
        <w:t>万元。全年按规定更新购置公务用车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辆，其中：轿车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万元，越野车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辆、金额</w:t>
      </w:r>
      <w:r>
        <w:rPr>
          <w:rFonts w:hint="eastAsia" w:ascii="仿宋_GB2312" w:eastAsia="仿宋_GB2312"/>
          <w:color w:val="000000"/>
          <w:sz w:val="32"/>
          <w:szCs w:val="32"/>
          <w:lang w:val="en-US" w:eastAsia="zh-CN"/>
        </w:rPr>
        <w:t>60.61</w:t>
      </w:r>
      <w:r>
        <w:rPr>
          <w:rFonts w:hint="eastAsia" w:ascii="仿宋_GB2312" w:eastAsia="仿宋_GB2312"/>
          <w:color w:val="000000"/>
          <w:sz w:val="32"/>
          <w:szCs w:val="32"/>
        </w:rPr>
        <w:t>万元，载客汽车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万元，主要用于执行公务活动、开展业务活动等。截至</w:t>
      </w:r>
      <w:r>
        <w:rPr>
          <w:rFonts w:ascii="仿宋_GB2312" w:eastAsia="仿宋_GB2312"/>
          <w:color w:val="000000"/>
          <w:sz w:val="32"/>
          <w:szCs w:val="32"/>
        </w:rPr>
        <w:t>2020</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hint="eastAsia" w:ascii="仿宋_GB2312" w:eastAsia="仿宋_GB2312"/>
          <w:color w:val="000000"/>
          <w:sz w:val="32"/>
          <w:szCs w:val="32"/>
          <w:lang w:val="en-US" w:eastAsia="zh-CN"/>
        </w:rPr>
        <w:t>18</w:t>
      </w:r>
      <w:r>
        <w:rPr>
          <w:rFonts w:hint="eastAsia" w:ascii="仿宋_GB2312" w:eastAsia="仿宋_GB2312"/>
          <w:color w:val="000000"/>
          <w:sz w:val="32"/>
          <w:szCs w:val="32"/>
        </w:rPr>
        <w:t>辆</w:t>
      </w:r>
      <w:r>
        <w:rPr>
          <w:rFonts w:hint="eastAsia" w:ascii="仿宋_GB2312" w:eastAsia="仿宋_GB2312"/>
          <w:color w:val="000000"/>
          <w:sz w:val="32"/>
          <w:szCs w:val="32"/>
          <w:lang w:eastAsia="zh-CN"/>
        </w:rPr>
        <w:t>，</w:t>
      </w:r>
      <w:r>
        <w:rPr>
          <w:rFonts w:hint="eastAsia" w:ascii="仿宋_GB2312" w:eastAsia="仿宋_GB2312"/>
          <w:color w:val="000000"/>
          <w:sz w:val="32"/>
          <w:szCs w:val="32"/>
        </w:rPr>
        <w:t>其中：轿车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辆、越野车</w:t>
      </w:r>
      <w:r>
        <w:rPr>
          <w:rFonts w:hint="eastAsia" w:ascii="仿宋_GB2312" w:eastAsia="仿宋_GB2312"/>
          <w:color w:val="000000"/>
          <w:sz w:val="32"/>
          <w:szCs w:val="32"/>
          <w:lang w:val="en-US" w:eastAsia="zh-CN"/>
        </w:rPr>
        <w:t>4</w:t>
      </w:r>
      <w:r>
        <w:rPr>
          <w:rFonts w:hint="eastAsia" w:ascii="仿宋_GB2312" w:eastAsia="仿宋_GB2312"/>
          <w:color w:val="000000"/>
          <w:sz w:val="32"/>
          <w:szCs w:val="32"/>
        </w:rPr>
        <w:t>辆、</w:t>
      </w:r>
      <w:r>
        <w:rPr>
          <w:rFonts w:hint="eastAsia" w:ascii="仿宋_GB2312" w:eastAsia="仿宋_GB2312"/>
          <w:color w:val="000000"/>
          <w:sz w:val="32"/>
          <w:szCs w:val="32"/>
          <w:lang w:val="en-US" w:eastAsia="zh-CN"/>
        </w:rPr>
        <w:t>其他车型13</w:t>
      </w:r>
      <w:r>
        <w:rPr>
          <w:rFonts w:hint="eastAsia" w:ascii="仿宋_GB2312" w:eastAsia="仿宋_GB2312"/>
          <w:color w:val="000000"/>
          <w:sz w:val="32"/>
          <w:szCs w:val="32"/>
        </w:rPr>
        <w:t>辆。</w:t>
      </w:r>
    </w:p>
    <w:p>
      <w:pPr>
        <w:pageBreakBefore w:val="0"/>
        <w:kinsoku/>
        <w:wordWrap/>
        <w:overflowPunct/>
        <w:topLinePunct w:val="0"/>
        <w:bidi w:val="0"/>
        <w:spacing w:line="48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lang w:val="en-US" w:eastAsia="zh-CN"/>
        </w:rPr>
        <w:t>93.62</w:t>
      </w:r>
      <w:r>
        <w:rPr>
          <w:rFonts w:hint="eastAsia" w:ascii="仿宋_GB2312" w:eastAsia="仿宋_GB2312"/>
          <w:color w:val="000000"/>
          <w:sz w:val="32"/>
          <w:szCs w:val="32"/>
        </w:rPr>
        <w:t>万元。主要用于管理局执行公务活动、开展业务活动等所需的公务用车燃料费、维修费、过路过桥费、保险费等支出。</w:t>
      </w:r>
    </w:p>
    <w:p>
      <w:pPr>
        <w:pageBreakBefore w:val="0"/>
        <w:kinsoku/>
        <w:wordWrap/>
        <w:overflowPunct/>
        <w:topLinePunct w:val="0"/>
        <w:bidi w:val="0"/>
        <w:spacing w:line="48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lang w:val="en-US" w:eastAsia="zh-CN"/>
        </w:rPr>
        <w:t>41.15</w:t>
      </w:r>
      <w:r>
        <w:rPr>
          <w:rFonts w:hint="eastAsia" w:ascii="仿宋_GB2312" w:eastAsia="仿宋_GB2312"/>
          <w:color w:val="000000"/>
          <w:sz w:val="32"/>
          <w:szCs w:val="32"/>
        </w:rPr>
        <w:t>万元，</w:t>
      </w:r>
      <w:r>
        <w:rPr>
          <w:rStyle w:val="21"/>
          <w:rFonts w:hint="eastAsia" w:ascii="仿宋" w:hAnsi="仿宋" w:eastAsia="仿宋"/>
          <w:b w:val="0"/>
          <w:bCs/>
          <w:color w:val="000000"/>
          <w:sz w:val="32"/>
          <w:szCs w:val="32"/>
        </w:rPr>
        <w:t>完成预算</w:t>
      </w:r>
      <w:r>
        <w:rPr>
          <w:rStyle w:val="21"/>
          <w:rFonts w:hint="eastAsia" w:ascii="仿宋" w:hAnsi="仿宋" w:eastAsia="仿宋"/>
          <w:b w:val="0"/>
          <w:bCs/>
          <w:color w:val="000000"/>
          <w:sz w:val="32"/>
          <w:szCs w:val="32"/>
          <w:lang w:val="en-US" w:eastAsia="zh-CN"/>
        </w:rPr>
        <w:t>100</w:t>
      </w:r>
      <w:r>
        <w:rPr>
          <w:rStyle w:val="21"/>
          <w:rFonts w:ascii="仿宋" w:hAnsi="仿宋" w:eastAsia="仿宋"/>
          <w:b w:val="0"/>
          <w:bCs/>
          <w:color w:val="000000"/>
          <w:sz w:val="32"/>
          <w:szCs w:val="32"/>
        </w:rPr>
        <w:t>%</w:t>
      </w:r>
      <w:r>
        <w:rPr>
          <w:rStyle w:val="21"/>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2019</w:t>
      </w:r>
      <w:r>
        <w:rPr>
          <w:rFonts w:hint="eastAsia" w:ascii="仿宋_GB2312" w:eastAsia="仿宋_GB2312"/>
          <w:color w:val="000000"/>
          <w:sz w:val="32"/>
          <w:szCs w:val="32"/>
        </w:rPr>
        <w:t>年减少</w:t>
      </w:r>
      <w:r>
        <w:rPr>
          <w:rFonts w:hint="eastAsia" w:ascii="仿宋_GB2312" w:eastAsia="仿宋_GB2312"/>
          <w:color w:val="000000"/>
          <w:sz w:val="32"/>
          <w:szCs w:val="32"/>
          <w:lang w:val="en-US" w:eastAsia="zh-CN"/>
        </w:rPr>
        <w:t>9.27</w:t>
      </w:r>
      <w:r>
        <w:rPr>
          <w:rFonts w:hint="eastAsia" w:ascii="仿宋_GB2312" w:eastAsia="仿宋_GB2312"/>
          <w:color w:val="000000"/>
          <w:sz w:val="32"/>
          <w:szCs w:val="32"/>
        </w:rPr>
        <w:t>万元，下降</w:t>
      </w:r>
      <w:r>
        <w:rPr>
          <w:rFonts w:hint="eastAsia" w:ascii="仿宋_GB2312" w:eastAsia="仿宋_GB2312"/>
          <w:color w:val="000000"/>
          <w:sz w:val="32"/>
          <w:szCs w:val="32"/>
          <w:lang w:val="en-US" w:eastAsia="zh-CN"/>
        </w:rPr>
        <w:t>22.53</w:t>
      </w:r>
      <w:r>
        <w:rPr>
          <w:rFonts w:ascii="仿宋_GB2312" w:eastAsia="仿宋_GB2312"/>
          <w:color w:val="000000"/>
          <w:sz w:val="32"/>
          <w:szCs w:val="32"/>
        </w:rPr>
        <w:t>%</w:t>
      </w:r>
      <w:r>
        <w:rPr>
          <w:rFonts w:hint="eastAsia" w:ascii="仿宋_GB2312" w:eastAsia="仿宋_GB2312"/>
          <w:color w:val="000000"/>
          <w:sz w:val="32"/>
          <w:szCs w:val="32"/>
        </w:rPr>
        <w:t>。主要原因是积极贯彻落实中央八项规定要求，加强公务接待管理，从严控制“三公”经费的支出。其中：</w:t>
      </w:r>
    </w:p>
    <w:p>
      <w:pPr>
        <w:pageBreakBefore w:val="0"/>
        <w:kinsoku/>
        <w:wordWrap/>
        <w:overflowPunct/>
        <w:topLinePunct w:val="0"/>
        <w:bidi w:val="0"/>
        <w:spacing w:line="480" w:lineRule="exact"/>
        <w:ind w:firstLine="640"/>
        <w:rPr>
          <w:rFonts w:ascii="仿宋_GB2312" w:eastAsia="仿宋_GB2312"/>
          <w:color w:val="000000"/>
          <w:sz w:val="32"/>
          <w:szCs w:val="32"/>
        </w:rPr>
      </w:pPr>
      <w:r>
        <w:rPr>
          <w:rFonts w:hint="eastAsia" w:ascii="仿宋" w:hAnsi="仿宋" w:eastAsia="仿宋"/>
          <w:b/>
          <w:color w:val="000000"/>
          <w:sz w:val="32"/>
          <w:szCs w:val="32"/>
        </w:rPr>
        <w:t>国内公务接待支出</w:t>
      </w:r>
      <w:r>
        <w:rPr>
          <w:rFonts w:hint="eastAsia" w:ascii="仿宋" w:hAnsi="仿宋" w:eastAsia="仿宋"/>
          <w:color w:val="000000"/>
          <w:sz w:val="32"/>
          <w:szCs w:val="32"/>
          <w:lang w:val="en-US" w:eastAsia="zh-CN"/>
        </w:rPr>
        <w:t>41.15</w:t>
      </w:r>
      <w:r>
        <w:rPr>
          <w:rFonts w:hint="eastAsia" w:ascii="仿宋_GB2312" w:eastAsia="仿宋_GB2312"/>
          <w:color w:val="000000"/>
          <w:sz w:val="32"/>
          <w:szCs w:val="32"/>
        </w:rPr>
        <w:t>万元，主要</w:t>
      </w:r>
      <w:r>
        <w:rPr>
          <w:rFonts w:hint="eastAsia" w:ascii="仿宋_GB2312" w:eastAsia="仿宋_GB2312"/>
          <w:color w:val="000000"/>
          <w:sz w:val="32"/>
          <w:szCs w:val="32"/>
          <w:lang w:val="en-US" w:eastAsia="zh-CN"/>
        </w:rPr>
        <w:t>用于与各大旅行社、新闻媒体</w:t>
      </w:r>
      <w:r>
        <w:rPr>
          <w:rFonts w:hint="eastAsia" w:ascii="仿宋_GB2312" w:eastAsia="仿宋_GB2312"/>
          <w:color w:val="000000"/>
          <w:sz w:val="32"/>
          <w:szCs w:val="32"/>
        </w:rPr>
        <w:t>开展业务合作</w:t>
      </w:r>
      <w:r>
        <w:rPr>
          <w:rFonts w:hint="eastAsia" w:ascii="仿宋_GB2312" w:eastAsia="仿宋_GB2312"/>
          <w:color w:val="000000"/>
          <w:sz w:val="32"/>
          <w:szCs w:val="32"/>
          <w:lang w:eastAsia="zh-CN"/>
        </w:rPr>
        <w:t>、开展</w:t>
      </w:r>
      <w:r>
        <w:rPr>
          <w:rFonts w:hint="eastAsia" w:ascii="仿宋_GB2312" w:eastAsia="仿宋_GB2312"/>
          <w:color w:val="000000"/>
          <w:sz w:val="32"/>
          <w:szCs w:val="32"/>
          <w:lang w:val="en-US" w:eastAsia="zh-CN"/>
        </w:rPr>
        <w:t>大型宣传促销</w:t>
      </w:r>
      <w:r>
        <w:rPr>
          <w:rFonts w:hint="eastAsia" w:ascii="仿宋_GB2312" w:eastAsia="仿宋_GB2312"/>
          <w:color w:val="000000"/>
          <w:sz w:val="32"/>
          <w:szCs w:val="32"/>
          <w:lang w:eastAsia="zh-CN"/>
        </w:rPr>
        <w:t>活动</w:t>
      </w:r>
      <w:r>
        <w:rPr>
          <w:rFonts w:hint="eastAsia" w:ascii="仿宋_GB2312" w:eastAsia="仿宋_GB2312"/>
          <w:color w:val="000000"/>
          <w:sz w:val="32"/>
          <w:szCs w:val="32"/>
        </w:rPr>
        <w:t>等工作发生的用餐费、住宿费等接待支出。国内公务接待</w:t>
      </w:r>
      <w:r>
        <w:rPr>
          <w:rFonts w:hint="eastAsia" w:ascii="仿宋_GB2312" w:eastAsia="仿宋_GB2312"/>
          <w:color w:val="000000"/>
          <w:sz w:val="32"/>
          <w:szCs w:val="32"/>
          <w:lang w:val="en-US" w:eastAsia="zh-CN"/>
        </w:rPr>
        <w:t>139</w:t>
      </w:r>
      <w:r>
        <w:rPr>
          <w:rFonts w:hint="eastAsia" w:ascii="仿宋_GB2312" w:eastAsia="仿宋_GB2312"/>
          <w:color w:val="000000"/>
          <w:sz w:val="32"/>
          <w:szCs w:val="32"/>
        </w:rPr>
        <w:t>批次，</w:t>
      </w:r>
      <w:r>
        <w:rPr>
          <w:rFonts w:hint="eastAsia" w:ascii="仿宋_GB2312" w:eastAsia="仿宋_GB2312"/>
          <w:color w:val="000000"/>
          <w:sz w:val="32"/>
          <w:szCs w:val="32"/>
          <w:lang w:val="en-US" w:eastAsia="zh-CN"/>
        </w:rPr>
        <w:t>4202</w:t>
      </w:r>
      <w:r>
        <w:rPr>
          <w:rFonts w:hint="eastAsia" w:ascii="仿宋_GB2312" w:eastAsia="仿宋_GB2312"/>
          <w:color w:val="000000"/>
          <w:sz w:val="32"/>
          <w:szCs w:val="32"/>
        </w:rPr>
        <w:t>人次（不包括陪同人员），共计支出</w:t>
      </w:r>
      <w:r>
        <w:rPr>
          <w:rFonts w:hint="eastAsia" w:ascii="仿宋_GB2312" w:eastAsia="仿宋_GB2312"/>
          <w:color w:val="000000"/>
          <w:sz w:val="32"/>
          <w:szCs w:val="32"/>
          <w:lang w:val="en-US" w:eastAsia="zh-CN"/>
        </w:rPr>
        <w:t>41.15</w:t>
      </w:r>
      <w:r>
        <w:rPr>
          <w:rFonts w:hint="eastAsia" w:ascii="仿宋_GB2312" w:eastAsia="仿宋_GB2312"/>
          <w:color w:val="000000"/>
          <w:sz w:val="32"/>
          <w:szCs w:val="32"/>
        </w:rPr>
        <w:t>万元，具体内容包括：</w:t>
      </w:r>
      <w:r>
        <w:rPr>
          <w:rFonts w:hint="eastAsia" w:ascii="仿宋_GB2312" w:eastAsia="仿宋_GB2312"/>
          <w:color w:val="000000"/>
          <w:sz w:val="32"/>
          <w:szCs w:val="32"/>
          <w:lang w:val="en-US" w:eastAsia="zh-CN"/>
        </w:rPr>
        <w:t>全年接待用餐24.76万元，接待住宿16.39万元</w:t>
      </w:r>
      <w:r>
        <w:rPr>
          <w:rFonts w:hint="eastAsia" w:ascii="仿宋_GB2312" w:eastAsia="仿宋_GB2312"/>
          <w:color w:val="000000"/>
          <w:sz w:val="32"/>
          <w:szCs w:val="32"/>
        </w:rPr>
        <w:t>。</w:t>
      </w:r>
    </w:p>
    <w:p>
      <w:pPr>
        <w:pageBreakBefore w:val="0"/>
        <w:kinsoku/>
        <w:wordWrap/>
        <w:overflowPunct/>
        <w:topLinePunct w:val="0"/>
        <w:bidi w:val="0"/>
        <w:spacing w:line="480" w:lineRule="exact"/>
        <w:ind w:firstLine="643" w:firstLineChars="200"/>
        <w:rPr>
          <w:rFonts w:ascii="仿宋_GB2312" w:eastAsia="仿宋_GB2312"/>
          <w:color w:val="000000"/>
          <w:sz w:val="32"/>
          <w:szCs w:val="32"/>
        </w:rPr>
      </w:pPr>
      <w:r>
        <w:rPr>
          <w:rFonts w:hint="eastAsia" w:ascii="仿宋" w:hAnsi="仿宋" w:eastAsia="仿宋"/>
          <w:b/>
          <w:color w:val="000000"/>
          <w:sz w:val="32"/>
          <w:szCs w:val="32"/>
        </w:rPr>
        <w:t>外事接待支出</w:t>
      </w:r>
      <w:r>
        <w:rPr>
          <w:rFonts w:hint="eastAsia" w:ascii="仿宋" w:hAnsi="仿宋" w:eastAsia="仿宋"/>
          <w:color w:val="000000"/>
          <w:sz w:val="32"/>
          <w:szCs w:val="32"/>
          <w:lang w:val="en-US" w:eastAsia="zh-CN"/>
        </w:rPr>
        <w:t>0</w:t>
      </w:r>
      <w:r>
        <w:rPr>
          <w:rFonts w:hint="eastAsia" w:ascii="仿宋_GB2312" w:eastAsia="仿宋_GB2312"/>
          <w:color w:val="000000"/>
          <w:sz w:val="32"/>
          <w:szCs w:val="32"/>
        </w:rPr>
        <w:t>万元，外事接待</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批次，</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人，共计支出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pageBreakBefore w:val="0"/>
        <w:kinsoku/>
        <w:wordWrap/>
        <w:overflowPunct/>
        <w:topLinePunct w:val="0"/>
        <w:bidi w:val="0"/>
        <w:spacing w:line="480" w:lineRule="exact"/>
        <w:ind w:firstLine="640"/>
        <w:outlineLvl w:val="1"/>
        <w:rPr>
          <w:rStyle w:val="24"/>
          <w:rFonts w:ascii="黑体" w:hAnsi="黑体" w:eastAsia="黑体"/>
        </w:rPr>
      </w:pPr>
      <w:bookmarkStart w:id="82" w:name="_Toc79163622"/>
      <w:bookmarkStart w:id="83" w:name="_Toc15396610"/>
      <w:bookmarkStart w:id="84" w:name="_Toc15377218"/>
      <w:bookmarkStart w:id="85" w:name="_Toc79163872"/>
      <w:r>
        <w:rPr>
          <w:rFonts w:hint="eastAsia" w:ascii="黑体" w:eastAsia="黑体"/>
          <w:color w:val="000000"/>
          <w:sz w:val="32"/>
          <w:szCs w:val="32"/>
        </w:rPr>
        <w:t>八、</w:t>
      </w:r>
      <w:r>
        <w:rPr>
          <w:rStyle w:val="24"/>
          <w:rFonts w:hint="eastAsia" w:ascii="黑体" w:hAnsi="黑体" w:eastAsia="黑体"/>
          <w:b w:val="0"/>
        </w:rPr>
        <w:t>政府性基金预算支出决算情况说明</w:t>
      </w:r>
      <w:bookmarkEnd w:id="82"/>
      <w:bookmarkEnd w:id="83"/>
      <w:bookmarkEnd w:id="84"/>
      <w:bookmarkEnd w:id="85"/>
    </w:p>
    <w:p>
      <w:pPr>
        <w:pageBreakBefore w:val="0"/>
        <w:kinsoku/>
        <w:wordWrap/>
        <w:overflowPunct/>
        <w:topLinePunct w:val="0"/>
        <w:bidi w:val="0"/>
        <w:spacing w:line="480" w:lineRule="exact"/>
        <w:ind w:firstLine="640"/>
        <w:rPr>
          <w:rFonts w:ascii="仿宋_GB2312" w:eastAsia="仿宋_GB2312"/>
          <w:color w:val="000000"/>
          <w:sz w:val="32"/>
          <w:szCs w:val="32"/>
        </w:rPr>
      </w:pPr>
      <w:r>
        <w:rPr>
          <w:rFonts w:ascii="仿宋_GB2312" w:eastAsia="仿宋_GB2312"/>
          <w:color w:val="000000"/>
          <w:sz w:val="32"/>
          <w:szCs w:val="32"/>
        </w:rPr>
        <w:t>2020</w:t>
      </w:r>
      <w:r>
        <w:rPr>
          <w:rFonts w:hint="eastAsia" w:ascii="仿宋_GB2312" w:eastAsia="仿宋_GB2312"/>
          <w:color w:val="000000"/>
          <w:sz w:val="32"/>
          <w:szCs w:val="32"/>
        </w:rPr>
        <w:t>年政府性基金预算拨款支出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pageBreakBefore w:val="0"/>
        <w:numPr>
          <w:ilvl w:val="0"/>
          <w:numId w:val="2"/>
        </w:numPr>
        <w:kinsoku/>
        <w:wordWrap/>
        <w:overflowPunct/>
        <w:topLinePunct w:val="0"/>
        <w:bidi w:val="0"/>
        <w:spacing w:line="480" w:lineRule="exact"/>
        <w:ind w:firstLine="640"/>
        <w:outlineLvl w:val="1"/>
        <w:rPr>
          <w:rStyle w:val="24"/>
          <w:rFonts w:ascii="黑体" w:hAnsi="黑体" w:eastAsia="黑体"/>
          <w:b w:val="0"/>
        </w:rPr>
      </w:pPr>
      <w:bookmarkStart w:id="86" w:name="_Toc79163623"/>
      <w:bookmarkStart w:id="87" w:name="_Toc79163873"/>
      <w:bookmarkStart w:id="88" w:name="_Toc15396611"/>
      <w:bookmarkStart w:id="89" w:name="_Toc15377219"/>
      <w:r>
        <w:rPr>
          <w:rStyle w:val="24"/>
          <w:rFonts w:hint="eastAsia" w:ascii="黑体" w:hAnsi="黑体" w:eastAsia="黑体"/>
          <w:b w:val="0"/>
        </w:rPr>
        <w:t>国有资本经营预算支出决算情况说明</w:t>
      </w:r>
      <w:bookmarkEnd w:id="86"/>
      <w:bookmarkEnd w:id="87"/>
      <w:bookmarkEnd w:id="88"/>
      <w:bookmarkEnd w:id="89"/>
    </w:p>
    <w:p>
      <w:pPr>
        <w:pageBreakBefore w:val="0"/>
        <w:kinsoku/>
        <w:wordWrap/>
        <w:overflowPunct/>
        <w:topLinePunct w:val="0"/>
        <w:bidi w:val="0"/>
        <w:spacing w:line="480" w:lineRule="exact"/>
        <w:ind w:firstLine="640"/>
        <w:rPr>
          <w:rFonts w:ascii="方正小标宋简体" w:hAnsi="方正小标宋简体" w:eastAsia="方正小标宋简体" w:cs="方正小标宋简体"/>
          <w:sz w:val="44"/>
          <w:szCs w:val="44"/>
        </w:rPr>
      </w:pPr>
      <w:r>
        <w:rPr>
          <w:rFonts w:ascii="仿宋_GB2312" w:eastAsia="仿宋_GB2312"/>
          <w:color w:val="000000"/>
          <w:sz w:val="32"/>
          <w:szCs w:val="32"/>
        </w:rPr>
        <w:t>2020</w:t>
      </w:r>
      <w:r>
        <w:rPr>
          <w:rFonts w:hint="eastAsia" w:ascii="仿宋_GB2312" w:eastAsia="仿宋_GB2312"/>
          <w:color w:val="000000"/>
          <w:sz w:val="32"/>
          <w:szCs w:val="32"/>
        </w:rPr>
        <w:t>年国有资本经营预算拨款支出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pageBreakBefore w:val="0"/>
        <w:kinsoku/>
        <w:wordWrap/>
        <w:overflowPunct/>
        <w:topLinePunct w:val="0"/>
        <w:bidi w:val="0"/>
        <w:spacing w:line="480" w:lineRule="exact"/>
        <w:ind w:firstLine="800" w:firstLineChars="250"/>
        <w:outlineLvl w:val="1"/>
        <w:rPr>
          <w:rStyle w:val="24"/>
          <w:rFonts w:ascii="黑体" w:hAnsi="黑体" w:eastAsia="黑体"/>
        </w:rPr>
      </w:pPr>
      <w:bookmarkStart w:id="90" w:name="_Toc79163874"/>
      <w:bookmarkStart w:id="91" w:name="_Toc79163624"/>
      <w:bookmarkStart w:id="92" w:name="_Toc15377221"/>
      <w:bookmarkStart w:id="93" w:name="_Toc15396612"/>
      <w:r>
        <w:rPr>
          <w:rFonts w:hint="eastAsia" w:ascii="黑体" w:hAnsi="黑体" w:eastAsia="黑体"/>
          <w:color w:val="000000"/>
          <w:sz w:val="32"/>
          <w:szCs w:val="32"/>
        </w:rPr>
        <w:t>十</w:t>
      </w:r>
      <w:r>
        <w:rPr>
          <w:rStyle w:val="24"/>
          <w:rFonts w:hint="eastAsia" w:ascii="黑体" w:hAnsi="黑体" w:eastAsia="黑体"/>
        </w:rPr>
        <w:t>、</w:t>
      </w:r>
      <w:r>
        <w:rPr>
          <w:rStyle w:val="24"/>
          <w:rFonts w:hint="eastAsia" w:ascii="黑体" w:hAnsi="黑体" w:eastAsia="黑体"/>
          <w:b w:val="0"/>
        </w:rPr>
        <w:t>其他重要事项的情况说明</w:t>
      </w:r>
      <w:bookmarkEnd w:id="90"/>
      <w:bookmarkEnd w:id="91"/>
      <w:bookmarkEnd w:id="92"/>
      <w:bookmarkEnd w:id="93"/>
    </w:p>
    <w:p>
      <w:pPr>
        <w:pageBreakBefore w:val="0"/>
        <w:kinsoku/>
        <w:wordWrap/>
        <w:overflowPunct/>
        <w:topLinePunct w:val="0"/>
        <w:bidi w:val="0"/>
        <w:spacing w:line="480" w:lineRule="exact"/>
        <w:ind w:firstLine="643" w:firstLineChars="200"/>
        <w:outlineLvl w:val="2"/>
        <w:rPr>
          <w:rFonts w:ascii="仿宋" w:hAnsi="仿宋" w:eastAsia="仿宋"/>
          <w:color w:val="000000"/>
          <w:sz w:val="32"/>
          <w:szCs w:val="32"/>
        </w:rPr>
      </w:pPr>
      <w:bookmarkStart w:id="94" w:name="_Toc79163625"/>
      <w:bookmarkStart w:id="95" w:name="_Toc79163875"/>
      <w:bookmarkStart w:id="96" w:name="_Toc15377222"/>
      <w:r>
        <w:rPr>
          <w:rFonts w:hint="eastAsia" w:ascii="仿宋" w:hAnsi="仿宋" w:eastAsia="仿宋"/>
          <w:b/>
          <w:color w:val="000000"/>
          <w:sz w:val="32"/>
          <w:szCs w:val="32"/>
        </w:rPr>
        <w:t>（一）机关运行经费支出情况</w:t>
      </w:r>
      <w:bookmarkEnd w:id="94"/>
      <w:bookmarkEnd w:id="95"/>
      <w:bookmarkEnd w:id="96"/>
    </w:p>
    <w:p>
      <w:pPr>
        <w:pageBreakBefore w:val="0"/>
        <w:kinsoku/>
        <w:wordWrap/>
        <w:overflowPunct/>
        <w:topLinePunct w:val="0"/>
        <w:bidi w:val="0"/>
        <w:spacing w:line="480" w:lineRule="exact"/>
        <w:ind w:firstLine="640" w:firstLineChars="200"/>
        <w:rPr>
          <w:rFonts w:hint="default" w:ascii="仿宋_GB2312" w:eastAsia="仿宋_GB2312"/>
          <w:color w:val="000000"/>
          <w:sz w:val="32"/>
          <w:szCs w:val="32"/>
          <w:lang w:val="en-US" w:eastAsia="zh-CN"/>
        </w:rPr>
      </w:pPr>
      <w:r>
        <w:rPr>
          <w:rFonts w:ascii="仿宋_GB2312" w:eastAsia="仿宋_GB2312"/>
          <w:color w:val="000000"/>
          <w:sz w:val="32"/>
          <w:szCs w:val="32"/>
        </w:rPr>
        <w:t>2020</w:t>
      </w:r>
      <w:r>
        <w:rPr>
          <w:rFonts w:hint="eastAsia" w:ascii="仿宋_GB2312" w:eastAsia="仿宋_GB2312"/>
          <w:color w:val="000000"/>
          <w:sz w:val="32"/>
          <w:szCs w:val="32"/>
        </w:rPr>
        <w:t>年，</w:t>
      </w:r>
      <w:r>
        <w:rPr>
          <w:rFonts w:hint="eastAsia" w:ascii="仿宋_GB2312" w:eastAsia="仿宋_GB2312"/>
          <w:color w:val="000000"/>
          <w:sz w:val="32"/>
          <w:szCs w:val="32"/>
          <w:lang w:val="en-US" w:eastAsia="zh-CN"/>
        </w:rPr>
        <w:t>达古冰川管理局</w:t>
      </w:r>
      <w:r>
        <w:rPr>
          <w:rFonts w:hint="eastAsia" w:ascii="仿宋_GB2312" w:eastAsia="仿宋_GB2312"/>
          <w:color w:val="000000"/>
          <w:sz w:val="32"/>
          <w:szCs w:val="32"/>
        </w:rPr>
        <w:t>机关运行经费支出</w:t>
      </w:r>
      <w:r>
        <w:rPr>
          <w:rFonts w:hint="eastAsia" w:ascii="仿宋" w:hAnsi="仿宋" w:eastAsia="仿宋"/>
          <w:color w:val="000000"/>
          <w:sz w:val="32"/>
          <w:szCs w:val="32"/>
          <w:lang w:val="en-US" w:eastAsia="zh-CN"/>
        </w:rPr>
        <w:t>229.79</w:t>
      </w:r>
      <w:r>
        <w:rPr>
          <w:rFonts w:hint="eastAsia" w:ascii="仿宋_GB2312" w:eastAsia="仿宋_GB2312"/>
          <w:color w:val="000000"/>
          <w:sz w:val="32"/>
          <w:szCs w:val="32"/>
        </w:rPr>
        <w:t>万元，比</w:t>
      </w:r>
      <w:r>
        <w:rPr>
          <w:rFonts w:ascii="仿宋_GB2312" w:eastAsia="仿宋_GB2312"/>
          <w:color w:val="000000"/>
          <w:sz w:val="32"/>
          <w:szCs w:val="32"/>
        </w:rPr>
        <w:t>2019</w:t>
      </w:r>
      <w:r>
        <w:rPr>
          <w:rFonts w:hint="eastAsia" w:ascii="仿宋_GB2312" w:eastAsia="仿宋_GB2312"/>
          <w:color w:val="000000"/>
          <w:sz w:val="32"/>
          <w:szCs w:val="32"/>
        </w:rPr>
        <w:t>年</w:t>
      </w:r>
      <w:r>
        <w:rPr>
          <w:rFonts w:hint="eastAsia" w:ascii="仿宋_GB2312" w:eastAsia="仿宋_GB2312"/>
          <w:color w:val="000000"/>
          <w:sz w:val="32"/>
          <w:szCs w:val="32"/>
          <w:lang w:val="en-US" w:eastAsia="zh-CN"/>
        </w:rPr>
        <w:t>增加55.34</w:t>
      </w:r>
      <w:r>
        <w:rPr>
          <w:rFonts w:hint="eastAsia" w:ascii="仿宋_GB2312" w:eastAsia="仿宋_GB2312"/>
          <w:color w:val="000000"/>
          <w:sz w:val="32"/>
          <w:szCs w:val="32"/>
        </w:rPr>
        <w:t>万元，</w:t>
      </w:r>
      <w:r>
        <w:rPr>
          <w:rFonts w:hint="eastAsia" w:ascii="仿宋_GB2312" w:eastAsia="仿宋_GB2312"/>
          <w:color w:val="000000"/>
          <w:sz w:val="32"/>
          <w:szCs w:val="32"/>
          <w:lang w:val="en-US" w:eastAsia="zh-CN"/>
        </w:rPr>
        <w:t>增长24.08</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公务用车购置1辆。</w:t>
      </w:r>
    </w:p>
    <w:p>
      <w:pPr>
        <w:pageBreakBefore w:val="0"/>
        <w:kinsoku/>
        <w:wordWrap/>
        <w:overflowPunct/>
        <w:topLinePunct w:val="0"/>
        <w:autoSpaceDE w:val="0"/>
        <w:autoSpaceDN w:val="0"/>
        <w:bidi w:val="0"/>
        <w:adjustRightInd w:val="0"/>
        <w:spacing w:line="480" w:lineRule="exact"/>
        <w:ind w:firstLine="643" w:firstLineChars="200"/>
        <w:jc w:val="left"/>
        <w:outlineLvl w:val="2"/>
        <w:rPr>
          <w:rFonts w:ascii="仿宋" w:hAnsi="仿宋" w:eastAsia="仿宋"/>
          <w:b/>
          <w:color w:val="000000"/>
          <w:sz w:val="32"/>
          <w:szCs w:val="32"/>
        </w:rPr>
      </w:pPr>
      <w:bookmarkStart w:id="97" w:name="_Toc79163626"/>
      <w:bookmarkStart w:id="98" w:name="_Toc15377223"/>
      <w:bookmarkStart w:id="99" w:name="_Toc79163876"/>
      <w:r>
        <w:rPr>
          <w:rFonts w:hint="eastAsia" w:ascii="仿宋" w:hAnsi="仿宋" w:eastAsia="仿宋"/>
          <w:b/>
          <w:color w:val="000000"/>
          <w:sz w:val="32"/>
          <w:szCs w:val="32"/>
        </w:rPr>
        <w:t>（二）政府采购支出情况</w:t>
      </w:r>
      <w:bookmarkEnd w:id="97"/>
      <w:bookmarkEnd w:id="98"/>
      <w:bookmarkEnd w:id="99"/>
    </w:p>
    <w:p>
      <w:pPr>
        <w:pageBreakBefore w:val="0"/>
        <w:kinsoku/>
        <w:wordWrap/>
        <w:overflowPunct/>
        <w:topLinePunct w:val="0"/>
        <w:bidi w:val="0"/>
        <w:spacing w:line="480" w:lineRule="exact"/>
        <w:ind w:firstLine="640" w:firstLineChars="200"/>
        <w:rPr>
          <w:rFonts w:ascii="仿宋_GB2312" w:eastAsia="仿宋_GB2312"/>
          <w:color w:val="000000"/>
          <w:sz w:val="32"/>
          <w:szCs w:val="32"/>
        </w:rPr>
      </w:pPr>
      <w:r>
        <w:rPr>
          <w:rFonts w:ascii="仿宋_GB2312" w:eastAsia="仿宋_GB2312"/>
          <w:color w:val="000000"/>
          <w:sz w:val="32"/>
          <w:szCs w:val="32"/>
        </w:rPr>
        <w:t>2020</w:t>
      </w:r>
      <w:r>
        <w:rPr>
          <w:rFonts w:hint="eastAsia" w:ascii="仿宋_GB2312" w:eastAsia="仿宋_GB2312"/>
          <w:color w:val="000000"/>
          <w:sz w:val="32"/>
          <w:szCs w:val="32"/>
        </w:rPr>
        <w:t>年，</w:t>
      </w:r>
      <w:r>
        <w:rPr>
          <w:rFonts w:hint="eastAsia" w:ascii="仿宋_GB2312" w:eastAsia="仿宋_GB2312"/>
          <w:color w:val="000000"/>
          <w:sz w:val="32"/>
          <w:szCs w:val="32"/>
          <w:lang w:val="en-US" w:eastAsia="zh-CN"/>
        </w:rPr>
        <w:t>达古冰川管理局</w:t>
      </w:r>
      <w:r>
        <w:rPr>
          <w:rFonts w:hint="eastAsia" w:ascii="仿宋_GB2312" w:eastAsia="仿宋_GB2312"/>
          <w:color w:val="000000"/>
          <w:sz w:val="32"/>
          <w:szCs w:val="32"/>
        </w:rPr>
        <w:t>政府采购支出总额</w:t>
      </w:r>
      <w:r>
        <w:rPr>
          <w:rFonts w:hint="eastAsia" w:ascii="仿宋_GB2312" w:eastAsia="仿宋_GB2312"/>
          <w:color w:val="000000"/>
          <w:sz w:val="32"/>
          <w:szCs w:val="32"/>
          <w:lang w:val="en-US" w:eastAsia="zh-CN"/>
        </w:rPr>
        <w:t>543.06</w:t>
      </w:r>
      <w:r>
        <w:rPr>
          <w:rFonts w:hint="eastAsia" w:ascii="仿宋_GB2312" w:eastAsia="仿宋_GB2312"/>
          <w:color w:val="000000"/>
          <w:sz w:val="32"/>
          <w:szCs w:val="32"/>
        </w:rPr>
        <w:t>万元，其中：政府采购货物支出</w:t>
      </w:r>
      <w:r>
        <w:rPr>
          <w:rFonts w:hint="eastAsia" w:ascii="仿宋_GB2312" w:eastAsia="仿宋_GB2312"/>
          <w:color w:val="000000"/>
          <w:sz w:val="32"/>
          <w:szCs w:val="32"/>
          <w:lang w:val="en-US" w:eastAsia="zh-CN"/>
        </w:rPr>
        <w:t>64.82</w:t>
      </w:r>
      <w:r>
        <w:rPr>
          <w:rFonts w:hint="eastAsia" w:ascii="仿宋_GB2312" w:eastAsia="仿宋_GB2312"/>
          <w:color w:val="000000"/>
          <w:sz w:val="32"/>
          <w:szCs w:val="32"/>
        </w:rPr>
        <w:t>万元、政府采购工程支出</w:t>
      </w:r>
      <w:r>
        <w:rPr>
          <w:rFonts w:hint="eastAsia" w:ascii="仿宋_GB2312" w:eastAsia="仿宋_GB2312"/>
          <w:color w:val="000000"/>
          <w:sz w:val="32"/>
          <w:szCs w:val="32"/>
          <w:lang w:val="en-US" w:eastAsia="zh-CN"/>
        </w:rPr>
        <w:t>148.15</w:t>
      </w:r>
      <w:r>
        <w:rPr>
          <w:rFonts w:hint="eastAsia" w:ascii="仿宋_GB2312" w:eastAsia="仿宋_GB2312"/>
          <w:color w:val="000000"/>
          <w:sz w:val="32"/>
          <w:szCs w:val="32"/>
        </w:rPr>
        <w:t>万元、政府采购服务支出</w:t>
      </w:r>
      <w:r>
        <w:rPr>
          <w:rFonts w:hint="eastAsia" w:ascii="仿宋_GB2312" w:eastAsia="仿宋_GB2312"/>
          <w:color w:val="000000"/>
          <w:sz w:val="32"/>
          <w:szCs w:val="32"/>
          <w:lang w:val="en-US" w:eastAsia="zh-CN"/>
        </w:rPr>
        <w:t>330.09</w:t>
      </w:r>
      <w:r>
        <w:rPr>
          <w:rFonts w:hint="eastAsia" w:ascii="仿宋_GB2312" w:eastAsia="仿宋_GB2312"/>
          <w:color w:val="000000"/>
          <w:sz w:val="32"/>
          <w:szCs w:val="32"/>
        </w:rPr>
        <w:t>万元。主要用于</w:t>
      </w:r>
      <w:r>
        <w:rPr>
          <w:rFonts w:hint="eastAsia" w:ascii="仿宋_GB2312" w:eastAsia="仿宋_GB2312"/>
          <w:color w:val="000000"/>
          <w:sz w:val="32"/>
          <w:szCs w:val="32"/>
          <w:lang w:val="en-US" w:eastAsia="zh-CN"/>
        </w:rPr>
        <w:t>营销宣传、景区基本建设等项目</w:t>
      </w:r>
      <w:r>
        <w:rPr>
          <w:rFonts w:hint="eastAsia" w:ascii="仿宋_GB2312" w:eastAsia="仿宋_GB2312"/>
          <w:color w:val="000000"/>
          <w:sz w:val="32"/>
          <w:szCs w:val="32"/>
        </w:rPr>
        <w:t>。授予中小企业合同金额</w:t>
      </w:r>
      <w:r>
        <w:rPr>
          <w:rFonts w:hint="eastAsia" w:ascii="仿宋_GB2312" w:eastAsia="仿宋_GB2312"/>
          <w:color w:val="000000"/>
          <w:sz w:val="32"/>
          <w:szCs w:val="32"/>
          <w:lang w:val="en-US" w:eastAsia="zh-CN"/>
        </w:rPr>
        <w:t>543.06</w:t>
      </w:r>
      <w:r>
        <w:rPr>
          <w:rFonts w:hint="eastAsia" w:ascii="仿宋_GB2312" w:eastAsia="仿宋_GB2312"/>
          <w:color w:val="000000"/>
          <w:sz w:val="32"/>
          <w:szCs w:val="32"/>
        </w:rPr>
        <w:t>万元，占政府采购支出总额的</w:t>
      </w:r>
      <w:r>
        <w:rPr>
          <w:rFonts w:hint="eastAsia" w:ascii="仿宋_GB2312" w:eastAsia="仿宋_GB2312"/>
          <w:color w:val="000000"/>
          <w:sz w:val="32"/>
          <w:szCs w:val="32"/>
          <w:lang w:val="en-US" w:eastAsia="zh-CN"/>
        </w:rPr>
        <w:t>100</w:t>
      </w:r>
      <w:r>
        <w:rPr>
          <w:rFonts w:ascii="仿宋_GB2312" w:eastAsia="仿宋_GB2312"/>
          <w:color w:val="000000"/>
          <w:sz w:val="32"/>
          <w:szCs w:val="32"/>
        </w:rPr>
        <w:t>%</w:t>
      </w:r>
      <w:r>
        <w:rPr>
          <w:rFonts w:hint="eastAsia" w:ascii="仿宋_GB2312" w:eastAsia="仿宋_GB2312"/>
          <w:color w:val="000000"/>
          <w:sz w:val="32"/>
          <w:szCs w:val="32"/>
        </w:rPr>
        <w:t>，其中：授予小微企业合同金额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万元，占政府采购支出总额的</w:t>
      </w:r>
      <w:r>
        <w:rPr>
          <w:rFonts w:hint="eastAsia" w:ascii="仿宋_GB2312" w:eastAsia="仿宋_GB2312"/>
          <w:color w:val="000000"/>
          <w:sz w:val="32"/>
          <w:szCs w:val="32"/>
          <w:lang w:val="en-US" w:eastAsia="zh-CN"/>
        </w:rPr>
        <w:t>0</w:t>
      </w:r>
      <w:r>
        <w:rPr>
          <w:rFonts w:ascii="仿宋_GB2312" w:eastAsia="仿宋_GB2312"/>
          <w:color w:val="000000"/>
          <w:sz w:val="32"/>
          <w:szCs w:val="32"/>
        </w:rPr>
        <w:t>%</w:t>
      </w:r>
      <w:r>
        <w:rPr>
          <w:rFonts w:hint="eastAsia" w:ascii="仿宋_GB2312" w:eastAsia="仿宋_GB2312"/>
          <w:color w:val="000000"/>
          <w:sz w:val="32"/>
          <w:szCs w:val="32"/>
        </w:rPr>
        <w:t>。</w:t>
      </w:r>
    </w:p>
    <w:p>
      <w:pPr>
        <w:pageBreakBefore w:val="0"/>
        <w:kinsoku/>
        <w:wordWrap/>
        <w:overflowPunct/>
        <w:topLinePunct w:val="0"/>
        <w:autoSpaceDE w:val="0"/>
        <w:autoSpaceDN w:val="0"/>
        <w:bidi w:val="0"/>
        <w:adjustRightInd w:val="0"/>
        <w:spacing w:line="480" w:lineRule="exact"/>
        <w:ind w:firstLine="643" w:firstLineChars="200"/>
        <w:jc w:val="left"/>
        <w:outlineLvl w:val="2"/>
        <w:rPr>
          <w:rFonts w:ascii="仿宋" w:hAnsi="仿宋" w:eastAsia="仿宋"/>
          <w:b/>
          <w:color w:val="000000"/>
          <w:sz w:val="32"/>
          <w:szCs w:val="32"/>
        </w:rPr>
      </w:pPr>
      <w:bookmarkStart w:id="100" w:name="_Toc79163627"/>
      <w:bookmarkStart w:id="101" w:name="_Toc79163877"/>
      <w:bookmarkStart w:id="102" w:name="_Toc15377224"/>
      <w:r>
        <w:rPr>
          <w:rFonts w:hint="eastAsia" w:ascii="仿宋" w:hAnsi="仿宋" w:eastAsia="仿宋"/>
          <w:b/>
          <w:color w:val="000000"/>
          <w:sz w:val="32"/>
          <w:szCs w:val="32"/>
        </w:rPr>
        <w:t>（三）国有资产占有使用情况</w:t>
      </w:r>
      <w:bookmarkEnd w:id="100"/>
      <w:bookmarkEnd w:id="101"/>
      <w:bookmarkEnd w:id="102"/>
    </w:p>
    <w:p>
      <w:pPr>
        <w:pageBreakBefore w:val="0"/>
        <w:kinsoku/>
        <w:wordWrap/>
        <w:overflowPunct/>
        <w:topLinePunct w:val="0"/>
        <w:bidi w:val="0"/>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截至2020年12月31日，达古冰川管理局共有车辆18辆，其中：主要领导干部用车0辆、机要通信用车0辆、应急保障用车0辆、其他用车18辆，其他用车主要是用于管理局执行公务活动、开展业务活动。单价50万元以上通用设备4辆，门禁系统1套；单价100万元以上专用设备1套。</w:t>
      </w:r>
    </w:p>
    <w:p>
      <w:pPr>
        <w:pageBreakBefore w:val="0"/>
        <w:kinsoku/>
        <w:wordWrap/>
        <w:overflowPunct/>
        <w:topLinePunct w:val="0"/>
        <w:autoSpaceDE w:val="0"/>
        <w:autoSpaceDN w:val="0"/>
        <w:bidi w:val="0"/>
        <w:adjustRightInd w:val="0"/>
        <w:spacing w:line="480" w:lineRule="exact"/>
        <w:ind w:firstLine="643" w:firstLineChars="200"/>
        <w:jc w:val="left"/>
        <w:outlineLvl w:val="2"/>
        <w:rPr>
          <w:rFonts w:ascii="仿宋" w:hAnsi="仿宋" w:eastAsia="仿宋"/>
          <w:b/>
          <w:color w:val="000000"/>
          <w:sz w:val="32"/>
          <w:szCs w:val="32"/>
        </w:rPr>
      </w:pPr>
      <w:bookmarkStart w:id="103" w:name="_Toc79163628"/>
      <w:bookmarkStart w:id="104" w:name="_Toc79163878"/>
      <w:r>
        <w:rPr>
          <w:rFonts w:hint="eastAsia" w:ascii="仿宋" w:hAnsi="仿宋" w:eastAsia="仿宋"/>
          <w:b/>
          <w:color w:val="000000"/>
          <w:sz w:val="32"/>
          <w:szCs w:val="32"/>
        </w:rPr>
        <w:t>（四）预算绩效管理情况。</w:t>
      </w:r>
      <w:bookmarkEnd w:id="103"/>
      <w:bookmarkEnd w:id="104"/>
    </w:p>
    <w:p>
      <w:pPr>
        <w:pageBreakBefore w:val="0"/>
        <w:kinsoku/>
        <w:wordWrap/>
        <w:overflowPunct/>
        <w:topLinePunct w:val="0"/>
        <w:bidi w:val="0"/>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根据预算绩效管理要求，本部门在年初预算编制阶段，组织对</w:t>
      </w:r>
      <w:r>
        <w:rPr>
          <w:rFonts w:hint="eastAsia" w:ascii="仿宋_GB2312" w:hAnsi="仿宋_GB2312" w:eastAsia="仿宋_GB2312" w:cs="仿宋_GB2312"/>
          <w:sz w:val="32"/>
          <w:szCs w:val="32"/>
          <w:lang w:val="en-US" w:eastAsia="zh-CN"/>
        </w:rPr>
        <w:t>消防系统维护更新器材项目、护林防火管护费项目、网络平台维护费项目、数字化指挥平台租赁费、国家级生态旅游示范区创建等32个项目</w:t>
      </w:r>
      <w:r>
        <w:rPr>
          <w:rFonts w:hint="eastAsia" w:ascii="仿宋_GB2312" w:hAnsi="仿宋_GB2312" w:eastAsia="仿宋_GB2312" w:cs="仿宋_GB2312"/>
          <w:sz w:val="32"/>
          <w:szCs w:val="32"/>
        </w:rPr>
        <w:t>开展了预算事前绩效评估，对</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个项目开展了绩效目标完成情况自评。</w:t>
      </w:r>
    </w:p>
    <w:p>
      <w:pPr>
        <w:pageBreakBefore w:val="0"/>
        <w:kinsoku/>
        <w:wordWrap/>
        <w:overflowPunct/>
        <w:topLinePunct w:val="0"/>
        <w:bidi w:val="0"/>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年部门整体支出开展绩效自评，从评价情况来看本单位部门预算编制基础数据真实可靠，按照年度工作计划和支出标准合理编制部门预算，严格执行“三公经费” 预算管理，严格审批、无超预算、无预算执行的情况。圆满地完 成了各项目标任务。本部门还自行组织了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个项目支出绩效评价，从评价情况来看</w:t>
      </w:r>
      <w:r>
        <w:rPr>
          <w:rFonts w:hint="eastAsia" w:ascii="仿宋" w:eastAsia="仿宋" w:cs="仿宋"/>
          <w:b w:val="0"/>
          <w:bCs w:val="0"/>
          <w:sz w:val="30"/>
          <w:szCs w:val="30"/>
          <w:lang w:val="en-US" w:eastAsia="zh-CN"/>
        </w:rPr>
        <w:t>项目已按施工合同、设计要求完成，概算执行及调整情况良好，不存在超概算、自行扩大规模、提高标准和计划外项目等情况；项目管理规范；项目进度管理情况良好，达到预期效果。</w:t>
      </w:r>
    </w:p>
    <w:p>
      <w:pPr>
        <w:pageBreakBefore w:val="0"/>
        <w:kinsoku/>
        <w:wordWrap/>
        <w:overflowPunct/>
        <w:topLinePunct w:val="0"/>
        <w:bidi w:val="0"/>
        <w:spacing w:line="480" w:lineRule="exact"/>
        <w:ind w:firstLine="640" w:firstLineChars="200"/>
        <w:rPr>
          <w:rFonts w:ascii="仿宋_GB2312" w:hAnsi="仿宋_GB2312" w:eastAsia="仿宋_GB2312" w:cs="仿宋_GB2312"/>
          <w:sz w:val="32"/>
          <w:szCs w:val="32"/>
        </w:rPr>
      </w:pPr>
      <w:r>
        <w:rPr>
          <w:rFonts w:ascii="楷体_GB2312" w:hAnsi="楷体_GB2312" w:eastAsia="楷体_GB2312" w:cs="楷体_GB2312"/>
          <w:sz w:val="32"/>
          <w:szCs w:val="32"/>
        </w:rPr>
        <w:t>1.</w:t>
      </w:r>
      <w:r>
        <w:rPr>
          <w:rFonts w:hint="eastAsia" w:ascii="楷体_GB2312" w:hAnsi="楷体_GB2312" w:eastAsia="楷体_GB2312" w:cs="楷体_GB2312"/>
          <w:sz w:val="32"/>
          <w:szCs w:val="32"/>
        </w:rPr>
        <w:t>项目绩效目标完成情况。</w:t>
      </w:r>
      <w:r>
        <w:rPr>
          <w:rFonts w:ascii="楷体_GB2312" w:hAnsi="楷体_GB2312" w:eastAsia="楷体_GB2312" w:cs="楷体_GB2312"/>
          <w:sz w:val="32"/>
          <w:szCs w:val="32"/>
        </w:rPr>
        <w:br w:type="textWrapping"/>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本部门在</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年度部门决算中反映“</w:t>
      </w:r>
      <w:r>
        <w:rPr>
          <w:rFonts w:hint="eastAsia" w:ascii="仿宋_GB2312" w:hAnsi="仿宋_GB2312" w:eastAsia="仿宋_GB2312" w:cs="仿宋_GB2312"/>
          <w:sz w:val="32"/>
          <w:szCs w:val="32"/>
          <w:lang w:val="en-US" w:eastAsia="zh-CN"/>
        </w:rPr>
        <w:t>标识标牌更换及提升改造项目</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景区9.13大型山洪泥石流应急抢险修复工程项目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景区道路边坡地质灾害治理项目</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罗毕牧场河道防洪治涝生态修复项目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宣传促销项目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个项目绩效目标实际完成情况。（本单位部门项目绩效目标个数在</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个以上的，选取</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个项目进行公开，目标个数在</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个以下的，全部进行公开，公开内容包括选取的全部项目完成情况综述和完成情况表）。</w:t>
      </w:r>
    </w:p>
    <w:p>
      <w:pPr>
        <w:pageBreakBefore w:val="0"/>
        <w:kinsoku/>
        <w:wordWrap/>
        <w:overflowPunct/>
        <w:topLinePunct w:val="0"/>
        <w:bidi w:val="0"/>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标识标牌更换及提升改造</w:t>
      </w:r>
      <w:r>
        <w:rPr>
          <w:rFonts w:hint="eastAsia" w:ascii="仿宋_GB2312" w:hAnsi="仿宋_GB2312" w:eastAsia="仿宋_GB2312" w:cs="仿宋_GB2312"/>
          <w:sz w:val="32"/>
          <w:szCs w:val="32"/>
        </w:rPr>
        <w:t>项目绩效目标完成情况综述。项目全年预算数</w:t>
      </w:r>
      <w:r>
        <w:rPr>
          <w:rFonts w:hint="eastAsia" w:ascii="仿宋_GB2312" w:hAnsi="仿宋_GB2312" w:eastAsia="仿宋_GB2312" w:cs="仿宋_GB2312"/>
          <w:sz w:val="32"/>
          <w:szCs w:val="32"/>
          <w:lang w:val="en-US" w:eastAsia="zh-CN"/>
        </w:rPr>
        <w:t>63.91</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36.40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56.96</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。通过项目实施，提高了</w:t>
      </w:r>
      <w:r>
        <w:rPr>
          <w:rFonts w:hint="eastAsia" w:ascii="仿宋" w:eastAsia="仿宋" w:cs="仿宋"/>
          <w:sz w:val="30"/>
          <w:szCs w:val="30"/>
          <w:lang w:eastAsia="zh-CN"/>
        </w:rPr>
        <w:t>景区导视系统、标识标牌的更换，以及新增工作，为游客游览景区提供了系统、科学的指导</w:t>
      </w:r>
      <w:r>
        <w:rPr>
          <w:rFonts w:hint="eastAsia" w:ascii="仿宋_GB2312" w:hAnsi="仿宋_GB2312" w:eastAsia="仿宋_GB2312" w:cs="仿宋_GB2312"/>
          <w:sz w:val="32"/>
          <w:szCs w:val="32"/>
        </w:rPr>
        <w:t>，发现的主要问题：</w:t>
      </w:r>
      <w:r>
        <w:rPr>
          <w:rFonts w:hint="eastAsia" w:ascii="仿宋_GB2312" w:hAnsi="仿宋_GB2312" w:eastAsia="仿宋_GB2312" w:cs="仿宋_GB2312"/>
          <w:sz w:val="32"/>
          <w:szCs w:val="32"/>
          <w:lang w:val="en-US" w:eastAsia="zh-CN"/>
        </w:rPr>
        <w:t>无</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）景区9.13大型山洪泥石流应急抢险修复工程项目绩效目标完成情况综述。项目全年预算数</w:t>
      </w:r>
      <w:r>
        <w:rPr>
          <w:rFonts w:hint="eastAsia" w:ascii="仿宋_GB2312" w:hAnsi="仿宋_GB2312" w:eastAsia="仿宋_GB2312" w:cs="仿宋_GB2312"/>
          <w:sz w:val="32"/>
          <w:szCs w:val="32"/>
          <w:lang w:val="en-US" w:eastAsia="zh-CN"/>
        </w:rPr>
        <w:t>250</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247.34</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98.94</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。通过项目实施，保障了</w:t>
      </w:r>
      <w:r>
        <w:rPr>
          <w:rFonts w:hint="eastAsia" w:ascii="仿宋_GB2312" w:eastAsia="仿宋_GB2312" w:cs="仿宋_GB2312"/>
          <w:sz w:val="32"/>
          <w:szCs w:val="32"/>
        </w:rPr>
        <w:t>景区旅游基础设施安全和景区社区居民以及游客出行和旅游安全、切实维护群众生命财产安全</w:t>
      </w:r>
      <w:r>
        <w:rPr>
          <w:rFonts w:hint="eastAsia" w:ascii="仿宋_GB2312" w:eastAsia="仿宋_GB2312" w:cs="仿宋_GB2312"/>
          <w:sz w:val="32"/>
          <w:szCs w:val="32"/>
          <w:lang w:eastAsia="zh-CN"/>
        </w:rPr>
        <w:t>；</w:t>
      </w:r>
      <w:r>
        <w:rPr>
          <w:rFonts w:hint="eastAsia" w:ascii="仿宋_GB2312" w:eastAsia="仿宋_GB2312" w:cs="仿宋_GB2312"/>
          <w:sz w:val="32"/>
          <w:szCs w:val="32"/>
        </w:rPr>
        <w:t>防止次生灾害扩大，提升洪涝灾害应急应对能力</w:t>
      </w:r>
      <w:r>
        <w:rPr>
          <w:rFonts w:hint="eastAsia" w:ascii="仿宋_GB2312" w:eastAsia="仿宋_GB2312" w:cs="仿宋_GB2312"/>
          <w:sz w:val="32"/>
          <w:szCs w:val="32"/>
          <w:lang w:eastAsia="zh-CN"/>
        </w:rPr>
        <w:t>，</w:t>
      </w:r>
      <w:r>
        <w:rPr>
          <w:rFonts w:hint="eastAsia" w:ascii="仿宋_GB2312" w:hAnsi="仿宋_GB2312" w:eastAsia="仿宋_GB2312" w:cs="仿宋_GB2312"/>
          <w:sz w:val="32"/>
          <w:szCs w:val="32"/>
        </w:rPr>
        <w:t>发现的主要问题：</w:t>
      </w:r>
      <w:r>
        <w:rPr>
          <w:rFonts w:hint="eastAsia" w:ascii="仿宋_GB2312" w:hAnsi="仿宋_GB2312" w:eastAsia="仿宋_GB2312" w:cs="仿宋_GB2312"/>
          <w:sz w:val="32"/>
          <w:szCs w:val="32"/>
          <w:lang w:val="en-US" w:eastAsia="zh-CN"/>
        </w:rPr>
        <w:t>在项目实施过程中督促施工单位做好过程资料略有不足</w:t>
      </w:r>
      <w:r>
        <w:rPr>
          <w:rFonts w:hint="eastAsia" w:ascii="仿宋_GB2312" w:hAnsi="仿宋_GB2312" w:eastAsia="仿宋_GB2312" w:cs="仿宋_GB2312"/>
          <w:sz w:val="32"/>
          <w:szCs w:val="32"/>
        </w:rPr>
        <w:t>。下一步改进措施：</w:t>
      </w:r>
      <w:r>
        <w:rPr>
          <w:rFonts w:hint="eastAsia" w:ascii="仿宋_GB2312" w:hAnsi="仿宋_GB2312" w:eastAsia="仿宋_GB2312" w:cs="仿宋_GB2312"/>
          <w:sz w:val="32"/>
          <w:szCs w:val="32"/>
          <w:lang w:val="en-US" w:eastAsia="zh-CN"/>
        </w:rPr>
        <w:t>进一步完善资料。</w:t>
      </w:r>
    </w:p>
    <w:p>
      <w:pPr>
        <w:pageBreakBefore w:val="0"/>
        <w:kinsoku/>
        <w:wordWrap/>
        <w:overflowPunct/>
        <w:topLinePunct w:val="0"/>
        <w:bidi w:val="0"/>
        <w:spacing w:line="4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景区道路边坡地质灾害治理</w:t>
      </w:r>
      <w:r>
        <w:rPr>
          <w:rFonts w:hint="eastAsia" w:ascii="仿宋_GB2312" w:hAnsi="仿宋_GB2312" w:eastAsia="仿宋_GB2312" w:cs="仿宋_GB2312"/>
          <w:sz w:val="32"/>
          <w:szCs w:val="32"/>
        </w:rPr>
        <w:t>项目绩效目标完成情况综述。截止</w:t>
      </w:r>
      <w:r>
        <w:rPr>
          <w:rFonts w:hint="eastAsia" w:ascii="仿宋_GB2312" w:hAnsi="仿宋_GB2312" w:eastAsia="仿宋_GB2312" w:cs="仿宋_GB2312"/>
          <w:sz w:val="32"/>
          <w:szCs w:val="32"/>
          <w:lang w:eastAsia="zh-CN"/>
        </w:rPr>
        <w:t>目前，应支付</w:t>
      </w:r>
      <w:r>
        <w:rPr>
          <w:rFonts w:hint="eastAsia" w:ascii="仿宋_GB2312" w:hAnsi="仿宋_GB2312" w:eastAsia="仿宋_GB2312" w:cs="仿宋_GB2312"/>
          <w:sz w:val="32"/>
          <w:szCs w:val="32"/>
          <w:lang w:val="en-US" w:eastAsia="zh-CN"/>
        </w:rPr>
        <w:t>377.73万元，</w:t>
      </w:r>
      <w:r>
        <w:rPr>
          <w:rFonts w:hint="eastAsia" w:ascii="仿宋_GB2312" w:hAnsi="仿宋_GB2312" w:eastAsia="仿宋_GB2312" w:cs="仿宋_GB2312"/>
          <w:sz w:val="32"/>
          <w:szCs w:val="32"/>
        </w:rPr>
        <w:t>已</w:t>
      </w:r>
      <w:r>
        <w:rPr>
          <w:rFonts w:hint="eastAsia" w:ascii="仿宋_GB2312" w:hAnsi="仿宋_GB2312" w:eastAsia="仿宋_GB2312" w:cs="仿宋_GB2312"/>
          <w:sz w:val="32"/>
          <w:szCs w:val="32"/>
          <w:lang w:eastAsia="zh-CN"/>
        </w:rPr>
        <w:t>支</w:t>
      </w:r>
      <w:r>
        <w:rPr>
          <w:rFonts w:hint="eastAsia" w:ascii="仿宋_GB2312" w:hAnsi="仿宋_GB2312" w:eastAsia="仿宋_GB2312" w:cs="仿宋_GB2312"/>
          <w:sz w:val="32"/>
          <w:szCs w:val="32"/>
        </w:rPr>
        <w:t>付</w:t>
      </w:r>
      <w:r>
        <w:rPr>
          <w:rFonts w:hint="eastAsia" w:ascii="仿宋_GB2312" w:hAnsi="仿宋_GB2312" w:eastAsia="仿宋_GB2312" w:cs="仿宋_GB2312"/>
          <w:sz w:val="32"/>
          <w:szCs w:val="32"/>
          <w:lang w:val="en-US" w:eastAsia="zh-CN"/>
        </w:rPr>
        <w:t>377.45万元，支付率99.93%。</w:t>
      </w:r>
      <w:r>
        <w:rPr>
          <w:rFonts w:hint="eastAsia" w:ascii="仿宋_GB2312" w:hAnsi="仿宋_GB2312" w:eastAsia="仿宋_GB2312" w:cs="仿宋_GB2312"/>
          <w:sz w:val="32"/>
          <w:szCs w:val="32"/>
        </w:rPr>
        <w:t>通过项目实施，</w:t>
      </w:r>
      <w:r>
        <w:rPr>
          <w:rFonts w:hint="eastAsia" w:ascii="仿宋_GB2312" w:hAnsi="仿宋_GB2312" w:eastAsia="仿宋_GB2312" w:cs="仿宋_GB2312"/>
          <w:sz w:val="32"/>
          <w:szCs w:val="32"/>
          <w:lang w:val="en-US" w:eastAsia="zh-CN"/>
        </w:rPr>
        <w:t>各治理点泥石流、落石、山体滑坡治理效果显著，未发生因地质灾害原因影响的道路通行安全事故，极大的提高了景区游客及原住民日常通行安全</w:t>
      </w:r>
      <w:r>
        <w:rPr>
          <w:rFonts w:hint="eastAsia" w:ascii="仿宋_GB2312" w:hAnsi="仿宋_GB2312" w:eastAsia="仿宋_GB2312" w:cs="仿宋_GB2312"/>
          <w:sz w:val="32"/>
          <w:szCs w:val="32"/>
        </w:rPr>
        <w:t>，发现的主要问题：</w:t>
      </w:r>
      <w:r>
        <w:rPr>
          <w:rFonts w:hint="eastAsia" w:ascii="仿宋_GB2312" w:hAnsi="仿宋_GB2312" w:eastAsia="仿宋_GB2312" w:cs="仿宋_GB2312"/>
          <w:sz w:val="32"/>
          <w:szCs w:val="32"/>
          <w:lang w:val="en-US" w:eastAsia="zh-CN"/>
        </w:rPr>
        <w:t>在项目实施过程中督促施工单位做好过程资料略有不足</w:t>
      </w:r>
      <w:r>
        <w:rPr>
          <w:rFonts w:hint="eastAsia" w:ascii="仿宋_GB2312" w:hAnsi="仿宋_GB2312" w:eastAsia="仿宋_GB2312" w:cs="仿宋_GB2312"/>
          <w:sz w:val="32"/>
          <w:szCs w:val="32"/>
        </w:rPr>
        <w:t>。下一步改进措施：</w:t>
      </w:r>
      <w:r>
        <w:rPr>
          <w:rFonts w:hint="eastAsia" w:ascii="仿宋_GB2312" w:hAnsi="仿宋_GB2312" w:eastAsia="仿宋_GB2312" w:cs="仿宋_GB2312"/>
          <w:sz w:val="32"/>
          <w:szCs w:val="32"/>
          <w:lang w:val="en-US" w:eastAsia="zh-CN"/>
        </w:rPr>
        <w:t>进一步完善资料。</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（4）罗毕牧场河道防洪治涝生态修复</w:t>
      </w:r>
      <w:r>
        <w:rPr>
          <w:rFonts w:hint="eastAsia" w:ascii="仿宋_GB2312" w:hAnsi="仿宋_GB2312" w:eastAsia="仿宋_GB2312" w:cs="仿宋_GB2312"/>
          <w:sz w:val="32"/>
          <w:szCs w:val="32"/>
        </w:rPr>
        <w:t>项目绩效目标完成情况综述。项目全年预算数</w:t>
      </w:r>
      <w:r>
        <w:rPr>
          <w:rFonts w:hint="eastAsia" w:ascii="仿宋_GB2312" w:hAnsi="仿宋_GB2312" w:eastAsia="仿宋_GB2312" w:cs="仿宋_GB2312"/>
          <w:sz w:val="32"/>
          <w:szCs w:val="32"/>
          <w:lang w:val="en-US" w:eastAsia="zh-CN"/>
        </w:rPr>
        <w:t>104.07</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104.07</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w:t>
      </w:r>
      <w:r>
        <w:rPr>
          <w:rFonts w:hint="eastAsia" w:ascii="仿宋_GB2312" w:hAnsi="仿宋_GB2312" w:eastAsia="仿宋_GB2312" w:cs="仿宋_GB2312"/>
          <w:sz w:val="32"/>
          <w:szCs w:val="32"/>
          <w:lang w:val="en-US" w:eastAsia="zh-CN"/>
        </w:rPr>
        <w:t>切实缓解了达古冰川景区娜姆湖处河道堵塞情况，提升了预防罗毕牧场河道河岸两侧植被、水土流水的效果</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rPr>
        <w:t>发现的主要问题：</w:t>
      </w:r>
      <w:r>
        <w:rPr>
          <w:rFonts w:hint="eastAsia" w:ascii="仿宋_GB2312" w:hAnsi="仿宋_GB2312" w:eastAsia="仿宋_GB2312" w:cs="仿宋_GB2312"/>
          <w:sz w:val="32"/>
          <w:szCs w:val="32"/>
          <w:lang w:val="en-US" w:eastAsia="zh-CN"/>
        </w:rPr>
        <w:t>在项目实施过程中督促施工单位做好过程资料略有不足</w:t>
      </w:r>
      <w:r>
        <w:rPr>
          <w:rFonts w:hint="eastAsia" w:ascii="仿宋_GB2312" w:hAnsi="仿宋_GB2312" w:eastAsia="仿宋_GB2312" w:cs="仿宋_GB2312"/>
          <w:sz w:val="32"/>
          <w:szCs w:val="32"/>
        </w:rPr>
        <w:t>。下一步改进措施：</w:t>
      </w:r>
      <w:r>
        <w:rPr>
          <w:rFonts w:hint="eastAsia" w:ascii="仿宋_GB2312" w:hAnsi="仿宋_GB2312" w:eastAsia="仿宋_GB2312" w:cs="仿宋_GB2312"/>
          <w:sz w:val="32"/>
          <w:szCs w:val="32"/>
          <w:lang w:val="en-US" w:eastAsia="zh-CN"/>
        </w:rPr>
        <w:t>进一步完善资料。</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（5）宣传促销项目</w:t>
      </w:r>
      <w:r>
        <w:rPr>
          <w:rFonts w:hint="eastAsia" w:ascii="仿宋_GB2312" w:hAnsi="仿宋_GB2312" w:eastAsia="仿宋_GB2312" w:cs="仿宋_GB2312"/>
          <w:sz w:val="32"/>
          <w:szCs w:val="32"/>
        </w:rPr>
        <w:t>绩效目标完成情况综述。项目全年预算数</w:t>
      </w:r>
      <w:r>
        <w:rPr>
          <w:rFonts w:hint="eastAsia" w:ascii="仿宋_GB2312" w:hAnsi="仿宋_GB2312" w:eastAsia="仿宋_GB2312" w:cs="仿宋_GB2312"/>
          <w:sz w:val="32"/>
          <w:szCs w:val="32"/>
          <w:lang w:val="en-US" w:eastAsia="zh-CN"/>
        </w:rPr>
        <w:t>320</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319.94</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99.98</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w:t>
      </w:r>
      <w:r>
        <w:rPr>
          <w:rFonts w:hint="eastAsia" w:ascii="仿宋_GB2312" w:hAnsi="仿宋_GB2312" w:eastAsia="仿宋_GB2312" w:cs="仿宋_GB2312"/>
          <w:sz w:val="32"/>
          <w:szCs w:val="32"/>
          <w:lang w:val="en-US" w:eastAsia="zh-CN"/>
        </w:rPr>
        <w:t>提高了景区旅游接待人次，增加景区知名度</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rPr>
        <w:t>发现的主要问题：</w:t>
      </w:r>
      <w:r>
        <w:rPr>
          <w:rFonts w:hint="eastAsia" w:ascii="仿宋_GB2312" w:eastAsia="仿宋_GB2312"/>
          <w:sz w:val="32"/>
          <w:szCs w:val="32"/>
        </w:rPr>
        <w:t>区域合作度低</w:t>
      </w:r>
      <w:r>
        <w:rPr>
          <w:rFonts w:hint="eastAsia" w:ascii="仿宋_GB2312" w:hAnsi="仿宋_GB2312" w:eastAsia="仿宋_GB2312" w:cs="仿宋_GB2312"/>
          <w:sz w:val="32"/>
          <w:szCs w:val="32"/>
        </w:rPr>
        <w:t>。下一步改进措施：</w:t>
      </w:r>
      <w:r>
        <w:rPr>
          <w:rFonts w:hint="eastAsia" w:ascii="仿宋_GB2312" w:hAnsi="仿宋_GB2312" w:eastAsia="仿宋_GB2312" w:cs="仿宋_GB2312"/>
          <w:sz w:val="32"/>
          <w:szCs w:val="32"/>
          <w:lang w:val="en-US" w:eastAsia="zh-CN"/>
        </w:rPr>
        <w:t>增加区域合作。</w:t>
      </w:r>
    </w:p>
    <w:tbl>
      <w:tblPr>
        <w:tblStyle w:val="19"/>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rPr>
          <w:trHeight w:val="1034" w:hRule="atLeast"/>
        </w:trPr>
        <w:tc>
          <w:tcPr>
            <w:tcW w:w="9960" w:type="dxa"/>
            <w:gridSpan w:val="6"/>
            <w:tcMar>
              <w:top w:w="15" w:type="dxa"/>
              <w:left w:w="15" w:type="dxa"/>
              <w:bottom w:w="0" w:type="dxa"/>
              <w:right w:w="15" w:type="dxa"/>
            </w:tcMar>
            <w:vAlign w:val="center"/>
          </w:tcPr>
          <w:p>
            <w:pPr>
              <w:pStyle w:val="38"/>
              <w:pageBreakBefore w:val="0"/>
              <w:kinsoku/>
              <w:wordWrap/>
              <w:overflowPunct/>
              <w:topLinePunct w:val="0"/>
              <w:bidi w:val="0"/>
              <w:spacing w:line="480" w:lineRule="exact"/>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sz w:val="36"/>
                <w:szCs w:val="36"/>
                <w:lang w:bidi="ar"/>
              </w:rPr>
              <w:t>项目支出绩效目标完成情况表</w:t>
            </w:r>
            <w:r>
              <w:rPr>
                <w:rFonts w:hint="eastAsia" w:ascii="宋体" w:hAnsi="宋体" w:cs="宋体"/>
                <w:b/>
                <w:bCs/>
                <w:color w:val="000000"/>
                <w:sz w:val="36"/>
                <w:szCs w:val="36"/>
                <w:lang w:bidi="ar"/>
              </w:rPr>
              <w:br w:type="textWrapping"/>
            </w:r>
            <w:r>
              <w:rPr>
                <w:rFonts w:hint="eastAsia" w:ascii="宋体" w:hAnsi="宋体" w:cs="宋体"/>
                <w:color w:val="000000"/>
                <w:sz w:val="36"/>
                <w:szCs w:val="36"/>
                <w:lang w:bidi="ar"/>
              </w:rPr>
              <w:t>(20</w:t>
            </w:r>
            <w:r>
              <w:rPr>
                <w:rFonts w:hint="eastAsia" w:ascii="宋体" w:hAnsi="宋体" w:cs="宋体"/>
                <w:color w:val="000000"/>
                <w:sz w:val="36"/>
                <w:szCs w:val="36"/>
                <w:lang w:val="en-US" w:eastAsia="zh-CN" w:bidi="ar"/>
              </w:rPr>
              <w:t>20</w:t>
            </w:r>
            <w:r>
              <w:rPr>
                <w:rFonts w:hint="eastAsia" w:ascii="宋体" w:hAnsi="宋体" w:cs="宋体"/>
                <w:color w:val="000000"/>
                <w:sz w:val="36"/>
                <w:szCs w:val="36"/>
                <w:lang w:bidi="ar"/>
              </w:rPr>
              <w:t>年度)</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达古冰山景区标识标牌更换及提升改造项目</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达古冰川管理局</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63.91万元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36.40万元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63.91万元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36.40万元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实际完成目标</w:t>
            </w:r>
          </w:p>
        </w:tc>
      </w:tr>
      <w:tr>
        <w:tblPrEx>
          <w:tblCellMar>
            <w:top w:w="0" w:type="dxa"/>
            <w:left w:w="0" w:type="dxa"/>
            <w:bottom w:w="0" w:type="dxa"/>
            <w:right w:w="0" w:type="dxa"/>
          </w:tblCellMar>
        </w:tblPrEx>
        <w:trPr>
          <w:trHeight w:val="269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xml:space="preserve">更换标识牌390个，整改66个，第二阶段新增795个，石头篆刻9个等。 </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实际按照合同要求，按时完成了景区标识标牌的制作，安装工作。</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实际完成指标值(包含数字及文字描述)</w:t>
            </w:r>
          </w:p>
        </w:tc>
      </w:tr>
      <w:tr>
        <w:tblPrEx>
          <w:tblCellMar>
            <w:top w:w="0" w:type="dxa"/>
            <w:left w:w="0" w:type="dxa"/>
            <w:bottom w:w="0" w:type="dxa"/>
            <w:right w:w="0" w:type="dxa"/>
          </w:tblCellMar>
        </w:tblPrEx>
        <w:trPr>
          <w:trHeight w:val="212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完成景区导视系统数量</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按照相关要求，先后完成景区导视系统，标识标牌及景观石的篆刻</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xml:space="preserve">新增标识标牌1197项，景观石修改27处，标牌整改389处 </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完成了景区导视系统、标识标牌的更换，以及新增工作，为游客游览景区提供了系统、科学的指导。</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项目已按施工合同、设计要求完成，概算执行及调整情况良好，不存在超概算、自行扩大规模、提高标准和计划外项目等情况；项目管理规范；项目进度管理情况良好，达到预期效果。</w:t>
            </w:r>
          </w:p>
        </w:tc>
      </w:tr>
    </w:tbl>
    <w:p>
      <w:pPr>
        <w:pageBreakBefore w:val="0"/>
        <w:kinsoku/>
        <w:wordWrap/>
        <w:overflowPunct/>
        <w:topLinePunct w:val="0"/>
        <w:bidi w:val="0"/>
        <w:spacing w:line="480" w:lineRule="exact"/>
        <w:ind w:firstLine="640" w:firstLineChars="200"/>
        <w:rPr>
          <w:rFonts w:hint="eastAsia" w:ascii="仿宋_GB2312" w:hAnsi="仿宋_GB2312" w:eastAsia="仿宋_GB2312" w:cs="仿宋_GB2312"/>
          <w:sz w:val="32"/>
          <w:szCs w:val="32"/>
          <w:lang w:val="en-US" w:eastAsia="zh-CN"/>
        </w:rPr>
      </w:pPr>
    </w:p>
    <w:p>
      <w:pPr>
        <w:pageBreakBefore w:val="0"/>
        <w:kinsoku/>
        <w:wordWrap/>
        <w:overflowPunct/>
        <w:topLinePunct w:val="0"/>
        <w:bidi w:val="0"/>
        <w:spacing w:line="480" w:lineRule="exact"/>
        <w:ind w:left="630"/>
        <w:rPr>
          <w:rFonts w:ascii="仿宋_GB2312" w:hAnsi="仿宋_GB2312" w:eastAsia="仿宋_GB2312" w:cs="仿宋_GB2312"/>
          <w:sz w:val="32"/>
          <w:szCs w:val="32"/>
        </w:rPr>
      </w:pPr>
    </w:p>
    <w:tbl>
      <w:tblPr>
        <w:tblStyle w:val="19"/>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177"/>
        <w:gridCol w:w="2240"/>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38"/>
              <w:pageBreakBefore w:val="0"/>
              <w:kinsoku/>
              <w:wordWrap/>
              <w:overflowPunct/>
              <w:topLinePunct w:val="0"/>
              <w:bidi w:val="0"/>
              <w:spacing w:line="480" w:lineRule="exact"/>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sz w:val="36"/>
                <w:szCs w:val="36"/>
                <w:lang w:bidi="ar"/>
              </w:rPr>
              <w:t>项目支出绩效目标完成情况表</w:t>
            </w:r>
            <w:r>
              <w:rPr>
                <w:rFonts w:hint="eastAsia" w:ascii="宋体" w:hAnsi="宋体" w:cs="宋体"/>
                <w:b/>
                <w:bCs/>
                <w:color w:val="000000"/>
                <w:sz w:val="36"/>
                <w:szCs w:val="36"/>
                <w:lang w:bidi="ar"/>
              </w:rPr>
              <w:br w:type="textWrapping"/>
            </w:r>
            <w:r>
              <w:rPr>
                <w:rFonts w:hint="eastAsia" w:ascii="宋体" w:hAnsi="宋体" w:cs="宋体"/>
                <w:color w:val="000000"/>
                <w:sz w:val="36"/>
                <w:szCs w:val="36"/>
                <w:lang w:bidi="ar"/>
              </w:rPr>
              <w:t>(20</w:t>
            </w:r>
            <w:r>
              <w:rPr>
                <w:rFonts w:hint="eastAsia" w:ascii="宋体" w:hAnsi="宋体" w:cs="宋体"/>
                <w:color w:val="000000"/>
                <w:sz w:val="36"/>
                <w:szCs w:val="36"/>
                <w:lang w:val="en-US" w:eastAsia="zh-CN" w:bidi="ar"/>
              </w:rPr>
              <w:t>20</w:t>
            </w:r>
            <w:r>
              <w:rPr>
                <w:rFonts w:hint="eastAsia" w:ascii="宋体" w:hAnsi="宋体" w:cs="宋体"/>
                <w:color w:val="000000"/>
                <w:sz w:val="36"/>
                <w:szCs w:val="36"/>
                <w:lang w:bidi="ar"/>
              </w:rPr>
              <w:t>年度)</w:t>
            </w:r>
          </w:p>
        </w:tc>
      </w:tr>
      <w:tr>
        <w:tblPrEx>
          <w:tblCellMar>
            <w:top w:w="0" w:type="dxa"/>
            <w:left w:w="0" w:type="dxa"/>
            <w:bottom w:w="0" w:type="dxa"/>
            <w:right w:w="0" w:type="dxa"/>
          </w:tblCellMar>
        </w:tblPrEx>
        <w:trPr>
          <w:trHeight w:val="276" w:hRule="atLeast"/>
        </w:trPr>
        <w:tc>
          <w:tcPr>
            <w:tcW w:w="293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项目名称</w:t>
            </w:r>
          </w:p>
        </w:tc>
        <w:tc>
          <w:tcPr>
            <w:tcW w:w="702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达古冰山景区9.13大型山洪泥石流应急抢险修复工程</w:t>
            </w:r>
          </w:p>
        </w:tc>
      </w:tr>
      <w:tr>
        <w:tblPrEx>
          <w:tblCellMar>
            <w:top w:w="0" w:type="dxa"/>
            <w:left w:w="0" w:type="dxa"/>
            <w:bottom w:w="0" w:type="dxa"/>
            <w:right w:w="0" w:type="dxa"/>
          </w:tblCellMar>
        </w:tblPrEx>
        <w:trPr>
          <w:trHeight w:val="276" w:hRule="atLeast"/>
        </w:trPr>
        <w:tc>
          <w:tcPr>
            <w:tcW w:w="293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预算单位</w:t>
            </w:r>
          </w:p>
        </w:tc>
        <w:tc>
          <w:tcPr>
            <w:tcW w:w="702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达古冰川管理局</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预算执行情况(万元)</w:t>
            </w:r>
          </w:p>
        </w:tc>
        <w:tc>
          <w:tcPr>
            <w:tcW w:w="2544"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预算数:</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250万元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247.34万元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544"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其中-财政拨款:</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250万元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247.34万元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544"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其它资金:</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保证景区旅游基础设施安全和景区社区居民以及游客出行和旅游安全、维护群众生命财产安全；2、防止次生灾害扩大，提升洪涝灾害应急应对能力；3、解决了480名职工以及酒店的生产生活用水；4、恢复景区道路，确保“十一黄金周”和“彩林季”旅游旺季前顺利通车。</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保证了景区旅游基础设施安全和景区社区居民以及游客出行和旅游安全、切实维护群众生命财产安全；2、防止次生灾害扩大，提升洪涝灾害应急应对能力；3、及时解决了480名职工以及酒店的生产生活用水；4、及时恢复了景区道路，确保“十一黄金周”和“彩林季”旅游旺季前顺利通车，不但有力的维护了景区旅游形象，而且景区增加了效益。</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一级指标</w:t>
            </w:r>
          </w:p>
        </w:tc>
        <w:tc>
          <w:tcPr>
            <w:tcW w:w="11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二级指标</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实际完成指标值(包含数字及文字描述)</w:t>
            </w:r>
          </w:p>
        </w:tc>
      </w:tr>
      <w:tr>
        <w:tblPrEx>
          <w:tblCellMar>
            <w:top w:w="0" w:type="dxa"/>
            <w:left w:w="0" w:type="dxa"/>
            <w:bottom w:w="0" w:type="dxa"/>
            <w:right w:w="0" w:type="dxa"/>
          </w:tblCellMar>
        </w:tblPrEx>
        <w:trPr>
          <w:trHeight w:val="366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项目完成指标</w:t>
            </w:r>
          </w:p>
        </w:tc>
        <w:tc>
          <w:tcPr>
            <w:tcW w:w="11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项目完成内容</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达古冰川景区生活用水水厂维修、挡土墙工程、河道清淤及相关附属工程等。</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达古冰川景区生活用水水厂维修、挡土墙工程、河道清淤及相关附属工程等。</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效益指标</w:t>
            </w:r>
          </w:p>
        </w:tc>
        <w:tc>
          <w:tcPr>
            <w:tcW w:w="11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210" w:firstLineChars="100"/>
              <w:textAlignment w:val="auto"/>
              <w:rPr>
                <w:rFonts w:hint="eastAsia" w:ascii="仿宋_GB2312" w:hAnsi="仿宋_GB2312" w:eastAsia="仿宋_GB2312" w:cs="仿宋_GB2312"/>
                <w:sz w:val="21"/>
                <w:szCs w:val="21"/>
                <w:lang w:val="en-US" w:eastAsia="zh-CN"/>
              </w:rPr>
            </w:pP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社会效益</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1、保证景区旅游基础设施安全和景区社区居民以及游客出行和旅游安全、维护群众生命财产安全；2、恢复景区道路，确保“十一黄金周”和“彩林季”旅游旺季前顺利通车。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保证了景区旅游基础设施安全和景区社区居民以及游客出行和旅游安全、切实维护群众生命财产安全；2、及时恢复了景区道路，确保“十一黄金周”和“彩林季”旅游旺季前顺利通车，不但有力的维护了景区旅游形象，而且景区增加了效益。</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生态效益</w:t>
            </w:r>
          </w:p>
        </w:tc>
        <w:tc>
          <w:tcPr>
            <w:tcW w:w="11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生态效益</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防止次生灾害扩大，提升洪涝灾害应急应对能力。</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防止次生灾害扩大，提升洪涝灾害应急应对能力</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满意度指标</w:t>
            </w:r>
          </w:p>
        </w:tc>
        <w:tc>
          <w:tcPr>
            <w:tcW w:w="11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1、保证景区旅游基础设施安全和景区社区居民以及游客出行和旅游安全、维护群众生命财产安全；2、解决了480名职工以及酒店的生产生活用水。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1、保证了景区旅游基础设施安全和景区社区居民以及游客出行和旅游安全、切实维护群众生命财产安全；2、及时解决了480名职工以及酒店的生产生活用水。</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p>
        </w:tc>
      </w:tr>
    </w:tbl>
    <w:p>
      <w:pPr>
        <w:pageBreakBefore w:val="0"/>
        <w:kinsoku/>
        <w:wordWrap/>
        <w:overflowPunct/>
        <w:topLinePunct w:val="0"/>
        <w:bidi w:val="0"/>
        <w:spacing w:line="480" w:lineRule="exact"/>
        <w:ind w:left="630"/>
        <w:rPr>
          <w:rFonts w:ascii="仿宋_GB2312" w:hAnsi="仿宋_GB2312" w:eastAsia="仿宋_GB2312" w:cs="仿宋_GB2312"/>
          <w:sz w:val="32"/>
          <w:szCs w:val="32"/>
        </w:rPr>
      </w:pPr>
    </w:p>
    <w:tbl>
      <w:tblPr>
        <w:tblStyle w:val="19"/>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152"/>
        <w:gridCol w:w="2240"/>
        <w:gridCol w:w="2394"/>
        <w:gridCol w:w="2392"/>
      </w:tblGrid>
      <w:tr>
        <w:tblPrEx>
          <w:tblCellMar>
            <w:top w:w="0" w:type="dxa"/>
            <w:left w:w="0" w:type="dxa"/>
            <w:bottom w:w="0" w:type="dxa"/>
            <w:right w:w="0" w:type="dxa"/>
          </w:tblCellMar>
        </w:tblPrEx>
        <w:trPr>
          <w:trHeight w:val="1034" w:hRule="atLeast"/>
        </w:trPr>
        <w:tc>
          <w:tcPr>
            <w:tcW w:w="9960" w:type="dxa"/>
            <w:gridSpan w:val="7"/>
            <w:tcMar>
              <w:top w:w="15" w:type="dxa"/>
              <w:left w:w="15" w:type="dxa"/>
              <w:bottom w:w="0" w:type="dxa"/>
              <w:right w:w="15" w:type="dxa"/>
            </w:tcMar>
            <w:vAlign w:val="center"/>
          </w:tcPr>
          <w:p>
            <w:pPr>
              <w:pStyle w:val="38"/>
              <w:pageBreakBefore w:val="0"/>
              <w:kinsoku/>
              <w:wordWrap/>
              <w:overflowPunct/>
              <w:topLinePunct w:val="0"/>
              <w:bidi w:val="0"/>
              <w:spacing w:line="480" w:lineRule="exact"/>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sz w:val="36"/>
                <w:szCs w:val="36"/>
                <w:lang w:bidi="ar"/>
              </w:rPr>
              <w:t>项目支出绩效目标完成情况表</w:t>
            </w:r>
            <w:r>
              <w:rPr>
                <w:rFonts w:hint="eastAsia" w:ascii="宋体" w:hAnsi="宋体" w:cs="宋体"/>
                <w:b/>
                <w:bCs/>
                <w:color w:val="000000"/>
                <w:sz w:val="36"/>
                <w:szCs w:val="36"/>
                <w:lang w:bidi="ar"/>
              </w:rPr>
              <w:br w:type="textWrapping"/>
            </w:r>
            <w:r>
              <w:rPr>
                <w:rFonts w:hint="eastAsia" w:ascii="宋体" w:hAnsi="宋体" w:cs="宋体"/>
                <w:color w:val="000000"/>
                <w:sz w:val="36"/>
                <w:szCs w:val="36"/>
                <w:lang w:bidi="ar"/>
              </w:rPr>
              <w:t>(20</w:t>
            </w:r>
            <w:r>
              <w:rPr>
                <w:rFonts w:hint="eastAsia" w:ascii="宋体" w:hAnsi="宋体" w:cs="宋体"/>
                <w:color w:val="000000"/>
                <w:sz w:val="36"/>
                <w:szCs w:val="36"/>
                <w:lang w:val="en-US" w:eastAsia="zh-CN" w:bidi="ar"/>
              </w:rPr>
              <w:t>20</w:t>
            </w:r>
            <w:r>
              <w:rPr>
                <w:rFonts w:hint="eastAsia" w:ascii="宋体" w:hAnsi="宋体" w:cs="宋体"/>
                <w:color w:val="000000"/>
                <w:sz w:val="36"/>
                <w:szCs w:val="36"/>
                <w:lang w:bidi="ar"/>
              </w:rPr>
              <w:t>年度)</w:t>
            </w:r>
          </w:p>
        </w:tc>
      </w:tr>
      <w:tr>
        <w:tblPrEx>
          <w:tblCellMar>
            <w:top w:w="0" w:type="dxa"/>
            <w:left w:w="0" w:type="dxa"/>
            <w:bottom w:w="0" w:type="dxa"/>
            <w:right w:w="0" w:type="dxa"/>
          </w:tblCellMar>
        </w:tblPrEx>
        <w:trPr>
          <w:trHeight w:val="276" w:hRule="atLeast"/>
        </w:trPr>
        <w:tc>
          <w:tcPr>
            <w:tcW w:w="2934"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项目名称</w:t>
            </w:r>
          </w:p>
        </w:tc>
        <w:tc>
          <w:tcPr>
            <w:tcW w:w="702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达古冰山景区道路边坡地质灾害治理项目</w:t>
            </w:r>
          </w:p>
        </w:tc>
      </w:tr>
      <w:tr>
        <w:tblPrEx>
          <w:tblCellMar>
            <w:top w:w="0" w:type="dxa"/>
            <w:left w:w="0" w:type="dxa"/>
            <w:bottom w:w="0" w:type="dxa"/>
            <w:right w:w="0" w:type="dxa"/>
          </w:tblCellMar>
        </w:tblPrEx>
        <w:trPr>
          <w:trHeight w:val="276" w:hRule="atLeast"/>
        </w:trPr>
        <w:tc>
          <w:tcPr>
            <w:tcW w:w="2934"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预算单位</w:t>
            </w:r>
          </w:p>
        </w:tc>
        <w:tc>
          <w:tcPr>
            <w:tcW w:w="702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达古冰川管理局</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预算执行情况(万元)</w:t>
            </w:r>
          </w:p>
        </w:tc>
        <w:tc>
          <w:tcPr>
            <w:tcW w:w="254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预算数:</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448万元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377.45万元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54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其中-财政拨款:</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448万元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377.45万元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54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其它资金:</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年度目标完成情况</w:t>
            </w:r>
          </w:p>
        </w:tc>
        <w:tc>
          <w:tcPr>
            <w:tcW w:w="4784"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4784"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预防水土流水，保持生态稳定平衡，同时消除安全隐患，保障景区游客及原住民日常通行安全。</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山景区道路边坡地质灾害治理项目完工至今近3年时间，项目实施后各治理点泥石流、落石、山体滑坡治理效果显著，未发生因地质灾害原因影响的道路通行安全事故，极大的提高了景区游客及原住民日常通行安全；同时，各治理点植被恢复效果明显。</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一级指标</w:t>
            </w:r>
          </w:p>
        </w:tc>
        <w:tc>
          <w:tcPr>
            <w:tcW w:w="117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二级指标</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实际完成指标值(包含数字及文字描述)</w:t>
            </w:r>
          </w:p>
        </w:tc>
      </w:tr>
      <w:tr>
        <w:tblPrEx>
          <w:tblCellMar>
            <w:top w:w="0" w:type="dxa"/>
            <w:left w:w="0" w:type="dxa"/>
            <w:bottom w:w="0" w:type="dxa"/>
            <w:right w:w="0" w:type="dxa"/>
          </w:tblCellMar>
        </w:tblPrEx>
        <w:trPr>
          <w:trHeight w:val="366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项目完成指标</w:t>
            </w:r>
          </w:p>
        </w:tc>
        <w:tc>
          <w:tcPr>
            <w:tcW w:w="117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项目完成情况</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新建排水沟砌石圬工3106.68m³、混凝土防滑齿425.99m³、消能池12个、挡土墙片石混凝土圬工463.26m³、混凝土圬工基座377.84m³、被动防护网180 m²、主动防护网1948.64m²，清淤清表及坡面整理15885.27m³，拆除原有挡土墙和排水沟建筑321m³。</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新建排水沟砌石圬工3106.68m³、混凝土防滑齿425.99m³、消能池12个、挡土墙片石混凝土圬工463.26m³、混凝土圬工基座377.84m³、被动防护网180 m²、主动防护网1948.64m²，清淤清表及坡面整理15885.27m³，拆除原有挡土墙和排水沟建筑321m³。</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效益指标</w:t>
            </w:r>
          </w:p>
        </w:tc>
        <w:tc>
          <w:tcPr>
            <w:tcW w:w="117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达到的社会效益</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保障景区游客及原住民日常通行安全</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项目实施后各治理点泥石流、落石、山体滑坡治理效果显著，未发生因地质灾害原因影响的道路通行安全事故，极大的提高了景区游客及原住民日常通行安全</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效益指标</w:t>
            </w:r>
          </w:p>
        </w:tc>
        <w:tc>
          <w:tcPr>
            <w:tcW w:w="117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达到的生态效益</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预防水土流水，保持生态稳定平衡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各治理点植被恢复效果明显</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满意度指标</w:t>
            </w:r>
          </w:p>
        </w:tc>
        <w:tc>
          <w:tcPr>
            <w:tcW w:w="117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满意度</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预防水土流水，保持生态稳定平衡，同时消除安全隐患，保障景区游客及原住民日常通行安全。</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山景区道路边坡地质灾害治理项目完工至今近3年时间，项目实施后各治理点泥石流、落石、山体滑坡治理效果显著，未发生因地质灾害原因影响的道路通行安全事故，极大的提高了景区游客及原住民日常通行安全；同时，各治理点植被恢复效果明显。</w:t>
            </w:r>
          </w:p>
        </w:tc>
      </w:tr>
      <w:tr>
        <w:tblPrEx>
          <w:tblCellMar>
            <w:top w:w="0" w:type="dxa"/>
            <w:left w:w="0" w:type="dxa"/>
            <w:bottom w:w="0" w:type="dxa"/>
            <w:right w:w="0" w:type="dxa"/>
          </w:tblCellMar>
        </w:tblPrEx>
        <w:trPr>
          <w:trHeight w:val="1034" w:hRule="atLeast"/>
        </w:trPr>
        <w:tc>
          <w:tcPr>
            <w:tcW w:w="9960" w:type="dxa"/>
            <w:gridSpan w:val="7"/>
            <w:tcMar>
              <w:top w:w="15" w:type="dxa"/>
              <w:left w:w="15" w:type="dxa"/>
              <w:bottom w:w="0" w:type="dxa"/>
              <w:right w:w="15" w:type="dxa"/>
            </w:tcMar>
            <w:vAlign w:val="center"/>
          </w:tcPr>
          <w:p>
            <w:pPr>
              <w:pStyle w:val="38"/>
              <w:pageBreakBefore w:val="0"/>
              <w:kinsoku/>
              <w:wordWrap/>
              <w:overflowPunct/>
              <w:topLinePunct w:val="0"/>
              <w:bidi w:val="0"/>
              <w:spacing w:line="480" w:lineRule="exact"/>
              <w:ind w:left="4173" w:leftChars="1310" w:hanging="1422" w:hangingChars="395"/>
              <w:textAlignment w:val="center"/>
              <w:rPr>
                <w:rFonts w:hint="eastAsia" w:ascii="黑体" w:hAnsi="黑体" w:eastAsia="黑体" w:cs="宋体"/>
                <w:bCs/>
                <w:color w:val="000000"/>
                <w:sz w:val="36"/>
                <w:szCs w:val="36"/>
                <w:lang w:bidi="ar"/>
              </w:rPr>
            </w:pPr>
          </w:p>
          <w:p>
            <w:pPr>
              <w:pStyle w:val="38"/>
              <w:pageBreakBefore w:val="0"/>
              <w:kinsoku/>
              <w:wordWrap/>
              <w:overflowPunct/>
              <w:topLinePunct w:val="0"/>
              <w:bidi w:val="0"/>
              <w:spacing w:line="480" w:lineRule="exact"/>
              <w:ind w:left="4173" w:leftChars="1310" w:hanging="1422" w:hangingChars="395"/>
              <w:textAlignment w:val="center"/>
              <w:rPr>
                <w:rFonts w:hint="eastAsia" w:ascii="黑体" w:hAnsi="黑体" w:eastAsia="黑体" w:cs="宋体"/>
                <w:bCs/>
                <w:color w:val="000000"/>
                <w:sz w:val="36"/>
                <w:szCs w:val="36"/>
                <w:lang w:bidi="ar"/>
              </w:rPr>
            </w:pPr>
          </w:p>
          <w:p>
            <w:pPr>
              <w:pStyle w:val="38"/>
              <w:pageBreakBefore w:val="0"/>
              <w:kinsoku/>
              <w:wordWrap/>
              <w:overflowPunct/>
              <w:topLinePunct w:val="0"/>
              <w:bidi w:val="0"/>
              <w:spacing w:line="480" w:lineRule="exact"/>
              <w:ind w:left="4173" w:leftChars="1310" w:hanging="1422" w:hangingChars="395"/>
              <w:textAlignment w:val="center"/>
              <w:rPr>
                <w:rFonts w:hint="eastAsia" w:ascii="黑体" w:hAnsi="黑体" w:eastAsia="黑体" w:cs="宋体"/>
                <w:bCs/>
                <w:color w:val="000000"/>
                <w:sz w:val="36"/>
                <w:szCs w:val="36"/>
                <w:lang w:bidi="ar"/>
              </w:rPr>
            </w:pPr>
          </w:p>
          <w:p>
            <w:pPr>
              <w:pStyle w:val="38"/>
              <w:pageBreakBefore w:val="0"/>
              <w:kinsoku/>
              <w:wordWrap/>
              <w:overflowPunct/>
              <w:topLinePunct w:val="0"/>
              <w:bidi w:val="0"/>
              <w:spacing w:line="480" w:lineRule="exact"/>
              <w:ind w:left="4173" w:leftChars="1310" w:hanging="1422" w:hangingChars="395"/>
              <w:textAlignment w:val="center"/>
              <w:rPr>
                <w:rFonts w:hint="eastAsia" w:ascii="黑体" w:hAnsi="黑体" w:eastAsia="黑体" w:cs="宋体"/>
                <w:bCs/>
                <w:color w:val="000000"/>
                <w:sz w:val="36"/>
                <w:szCs w:val="36"/>
                <w:lang w:bidi="ar"/>
              </w:rPr>
            </w:pPr>
          </w:p>
          <w:p>
            <w:pPr>
              <w:pStyle w:val="38"/>
              <w:pageBreakBefore w:val="0"/>
              <w:kinsoku/>
              <w:wordWrap/>
              <w:overflowPunct/>
              <w:topLinePunct w:val="0"/>
              <w:bidi w:val="0"/>
              <w:spacing w:line="480" w:lineRule="exact"/>
              <w:ind w:left="4173" w:leftChars="1310" w:hanging="1422" w:hangingChars="395"/>
              <w:textAlignment w:val="center"/>
              <w:rPr>
                <w:rFonts w:hint="eastAsia" w:ascii="黑体" w:hAnsi="黑体" w:eastAsia="黑体" w:cs="宋体"/>
                <w:bCs/>
                <w:color w:val="000000"/>
                <w:sz w:val="36"/>
                <w:szCs w:val="36"/>
                <w:lang w:bidi="ar"/>
              </w:rPr>
            </w:pPr>
          </w:p>
          <w:p>
            <w:pPr>
              <w:pStyle w:val="38"/>
              <w:pageBreakBefore w:val="0"/>
              <w:kinsoku/>
              <w:wordWrap/>
              <w:overflowPunct/>
              <w:topLinePunct w:val="0"/>
              <w:bidi w:val="0"/>
              <w:spacing w:line="480" w:lineRule="exact"/>
              <w:ind w:left="4173" w:leftChars="1310" w:hanging="1422" w:hangingChars="395"/>
              <w:textAlignment w:val="center"/>
              <w:rPr>
                <w:rFonts w:hint="eastAsia" w:ascii="黑体" w:hAnsi="黑体" w:eastAsia="黑体" w:cs="宋体"/>
                <w:bCs/>
                <w:color w:val="000000"/>
                <w:sz w:val="36"/>
                <w:szCs w:val="36"/>
                <w:lang w:bidi="ar"/>
              </w:rPr>
            </w:pPr>
          </w:p>
          <w:p>
            <w:pPr>
              <w:pStyle w:val="38"/>
              <w:pageBreakBefore w:val="0"/>
              <w:kinsoku/>
              <w:wordWrap/>
              <w:overflowPunct/>
              <w:topLinePunct w:val="0"/>
              <w:bidi w:val="0"/>
              <w:spacing w:line="480" w:lineRule="exact"/>
              <w:ind w:left="4173" w:leftChars="1310" w:hanging="1422" w:hangingChars="395"/>
              <w:textAlignment w:val="center"/>
              <w:rPr>
                <w:rFonts w:hint="eastAsia" w:ascii="黑体" w:hAnsi="黑体" w:eastAsia="黑体" w:cs="宋体"/>
                <w:bCs/>
                <w:color w:val="000000"/>
                <w:sz w:val="36"/>
                <w:szCs w:val="36"/>
                <w:lang w:bidi="ar"/>
              </w:rPr>
            </w:pPr>
          </w:p>
          <w:p>
            <w:pPr>
              <w:pStyle w:val="38"/>
              <w:pageBreakBefore w:val="0"/>
              <w:kinsoku/>
              <w:wordWrap/>
              <w:overflowPunct/>
              <w:topLinePunct w:val="0"/>
              <w:bidi w:val="0"/>
              <w:spacing w:line="480" w:lineRule="exact"/>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sz w:val="36"/>
                <w:szCs w:val="36"/>
                <w:lang w:bidi="ar"/>
              </w:rPr>
              <w:t>项目支出绩效目标完成情况表</w:t>
            </w:r>
            <w:r>
              <w:rPr>
                <w:rFonts w:hint="eastAsia" w:ascii="宋体" w:hAnsi="宋体" w:cs="宋体"/>
                <w:b/>
                <w:bCs/>
                <w:color w:val="000000"/>
                <w:sz w:val="36"/>
                <w:szCs w:val="36"/>
                <w:lang w:bidi="ar"/>
              </w:rPr>
              <w:br w:type="textWrapping"/>
            </w:r>
            <w:r>
              <w:rPr>
                <w:rFonts w:hint="eastAsia" w:ascii="宋体" w:hAnsi="宋体" w:cs="宋体"/>
                <w:color w:val="000000"/>
                <w:sz w:val="36"/>
                <w:szCs w:val="36"/>
                <w:lang w:bidi="ar"/>
              </w:rPr>
              <w:t>(20</w:t>
            </w:r>
            <w:r>
              <w:rPr>
                <w:rFonts w:hint="eastAsia" w:ascii="宋体" w:hAnsi="宋体" w:cs="宋体"/>
                <w:color w:val="000000"/>
                <w:sz w:val="36"/>
                <w:szCs w:val="36"/>
                <w:lang w:val="en-US" w:eastAsia="zh-CN" w:bidi="ar"/>
              </w:rPr>
              <w:t>20</w:t>
            </w:r>
            <w:r>
              <w:rPr>
                <w:rFonts w:hint="eastAsia" w:ascii="宋体" w:hAnsi="宋体" w:cs="宋体"/>
                <w:color w:val="000000"/>
                <w:sz w:val="36"/>
                <w:szCs w:val="36"/>
                <w:lang w:bidi="ar"/>
              </w:rPr>
              <w:t>年度)</w:t>
            </w:r>
          </w:p>
        </w:tc>
      </w:tr>
      <w:tr>
        <w:tblPrEx>
          <w:tblCellMar>
            <w:top w:w="0" w:type="dxa"/>
            <w:left w:w="0" w:type="dxa"/>
            <w:bottom w:w="0" w:type="dxa"/>
            <w:right w:w="0" w:type="dxa"/>
          </w:tblCellMar>
        </w:tblPrEx>
        <w:trPr>
          <w:trHeight w:val="276" w:hRule="atLeast"/>
        </w:trPr>
        <w:tc>
          <w:tcPr>
            <w:tcW w:w="2934"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项目名称</w:t>
            </w:r>
          </w:p>
        </w:tc>
        <w:tc>
          <w:tcPr>
            <w:tcW w:w="702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达古冰山景区罗毕牧场河道防洪治涝生态修复工程</w:t>
            </w:r>
          </w:p>
        </w:tc>
      </w:tr>
      <w:tr>
        <w:tblPrEx>
          <w:tblCellMar>
            <w:top w:w="0" w:type="dxa"/>
            <w:left w:w="0" w:type="dxa"/>
            <w:bottom w:w="0" w:type="dxa"/>
            <w:right w:w="0" w:type="dxa"/>
          </w:tblCellMar>
        </w:tblPrEx>
        <w:trPr>
          <w:trHeight w:val="276" w:hRule="atLeast"/>
        </w:trPr>
        <w:tc>
          <w:tcPr>
            <w:tcW w:w="2934"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预算单位</w:t>
            </w:r>
          </w:p>
        </w:tc>
        <w:tc>
          <w:tcPr>
            <w:tcW w:w="702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达古冰川管理局</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预算执行情况(万元)</w:t>
            </w:r>
          </w:p>
        </w:tc>
        <w:tc>
          <w:tcPr>
            <w:tcW w:w="254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预算数:</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172万元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166.64万元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54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其中-财政拨款:</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172万元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166.64万元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54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其它资金:</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年度目标完成情况</w:t>
            </w:r>
          </w:p>
        </w:tc>
        <w:tc>
          <w:tcPr>
            <w:tcW w:w="4784"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4784"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缓解达古冰川景区娜姆湖处河道堵塞情况，预防治理罗毕牧场河道河岸两侧植被、水土流水。</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zh-CN" w:eastAsia="zh-CN"/>
              </w:rPr>
            </w:pPr>
            <w:r>
              <w:rPr>
                <w:rFonts w:hint="eastAsia" w:ascii="仿宋_GB2312" w:hAnsi="仿宋_GB2312" w:eastAsia="仿宋_GB2312" w:cs="仿宋_GB2312"/>
                <w:sz w:val="21"/>
                <w:szCs w:val="21"/>
                <w:lang w:val="en-US" w:eastAsia="zh-CN"/>
              </w:rPr>
              <w:t>达古冰山景区罗毕牧场河道防洪治涝生态修复工程项目竣工至今已有1年，目前项目完成效果良好，切实的缓解了达古冰川景区娜姆湖处河道堵塞情况，提升了预防罗毕牧场河道河岸两侧植被、水土流水的效果</w:t>
            </w:r>
            <w:r>
              <w:rPr>
                <w:rFonts w:hint="eastAsia" w:ascii="仿宋_GB2312" w:hAnsi="仿宋_GB2312" w:eastAsia="仿宋_GB2312" w:cs="仿宋_GB2312"/>
                <w:sz w:val="21"/>
                <w:szCs w:val="21"/>
                <w:lang w:val="zh-CN" w:eastAsia="zh-CN"/>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一级指标</w:t>
            </w:r>
          </w:p>
        </w:tc>
        <w:tc>
          <w:tcPr>
            <w:tcW w:w="117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二级指标</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实际完成指标值(包含数字及文字描述)</w:t>
            </w:r>
          </w:p>
        </w:tc>
      </w:tr>
      <w:tr>
        <w:tblPrEx>
          <w:tblCellMar>
            <w:top w:w="0" w:type="dxa"/>
            <w:left w:w="0" w:type="dxa"/>
            <w:bottom w:w="0" w:type="dxa"/>
            <w:right w:w="0" w:type="dxa"/>
          </w:tblCellMar>
        </w:tblPrEx>
        <w:trPr>
          <w:trHeight w:val="677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项目完成指标</w:t>
            </w:r>
          </w:p>
        </w:tc>
        <w:tc>
          <w:tcPr>
            <w:tcW w:w="117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项目完成情况</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红柳滩娜姆沟右叉沟前段原河道清淤，清淤深度0.5m，宽度2.0m，清淤河道长139.86m；右叉沟后段入汇段229.60m长的河岸削坡整形；红柳滩河底清表除杂15cm厚，清表面积3500㎡；新建浆砌石拦河堰2座；维护整治河道内岛礁3座；2、娜姆河湖区河滩地清淤300㎡；拦河堰整修一处。</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1、红藓石堆砌124.4m³；2、1#拦河堰M12.5浆砌卵石边墙42.84m³；3、砂卵石填筑484.44m³；4、2#拦河堰M12.5浆砌卵石边墙36.56m³；5、干砌石护岸40.33m³；6、挖基础土方99.19m³。</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效益指标</w:t>
            </w:r>
          </w:p>
        </w:tc>
        <w:tc>
          <w:tcPr>
            <w:tcW w:w="117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社会效益</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保护景区资源、原住民土地不受破坏。</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对景区资源、原住民房屋、牧场起到了良好的保护作用。</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效益指标</w:t>
            </w:r>
          </w:p>
        </w:tc>
        <w:tc>
          <w:tcPr>
            <w:tcW w:w="117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生态效益</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预防治理罗毕牧场河道河岸两侧植被、水土流水。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切实的缓解了达古冰川景区娜姆湖处河道堵塞情况，提升了预防罗毕牧场河道河岸两侧植被、水土流水的效果</w:t>
            </w:r>
            <w:r>
              <w:rPr>
                <w:rFonts w:hint="eastAsia" w:ascii="仿宋_GB2312" w:hAnsi="仿宋_GB2312" w:eastAsia="仿宋_GB2312" w:cs="仿宋_GB2312"/>
                <w:sz w:val="21"/>
                <w:szCs w:val="21"/>
                <w:lang w:val="zh-CN" w:eastAsia="zh-CN"/>
              </w:rPr>
              <w:t>。</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满意度指标</w:t>
            </w:r>
          </w:p>
        </w:tc>
        <w:tc>
          <w:tcPr>
            <w:tcW w:w="117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满意度</w:t>
            </w:r>
          </w:p>
        </w:tc>
        <w:tc>
          <w:tcPr>
            <w:tcW w:w="224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缓解达古冰川景区娜姆湖处河道堵塞情况，预防治理罗毕牧场河道河岸两侧植被、水土流水。保护景区资源、原住民土地不受破坏。</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达古冰山景区罗毕牧场河道防洪治涝生态修复工程项目竣工至今已有1年，目前项目完成效果良好，切实的缓解了达古冰川景区娜姆湖处河道堵塞情况，提升了预防罗毕牧场河道河岸两侧植被、水土流水的效果</w:t>
            </w:r>
            <w:r>
              <w:rPr>
                <w:rFonts w:hint="eastAsia" w:ascii="仿宋_GB2312" w:hAnsi="仿宋_GB2312" w:eastAsia="仿宋_GB2312" w:cs="仿宋_GB2312"/>
                <w:sz w:val="21"/>
                <w:szCs w:val="21"/>
                <w:lang w:val="zh-CN" w:eastAsia="zh-CN"/>
              </w:rPr>
              <w:t>。</w:t>
            </w:r>
            <w:r>
              <w:rPr>
                <w:rFonts w:hint="eastAsia" w:ascii="仿宋_GB2312" w:hAnsi="仿宋_GB2312" w:eastAsia="仿宋_GB2312" w:cs="仿宋_GB2312"/>
                <w:sz w:val="21"/>
                <w:szCs w:val="21"/>
                <w:lang w:val="en-US" w:eastAsia="zh-CN"/>
              </w:rPr>
              <w:t>对景区资源、原住民房屋、牧场起到了良好的保护作用。</w:t>
            </w:r>
          </w:p>
        </w:tc>
      </w:tr>
      <w:tr>
        <w:tblPrEx>
          <w:tblCellMar>
            <w:top w:w="0" w:type="dxa"/>
            <w:left w:w="0" w:type="dxa"/>
            <w:bottom w:w="0" w:type="dxa"/>
            <w:right w:w="0" w:type="dxa"/>
          </w:tblCellMar>
        </w:tblPrEx>
        <w:trPr>
          <w:trHeight w:val="1034" w:hRule="atLeast"/>
        </w:trPr>
        <w:tc>
          <w:tcPr>
            <w:tcW w:w="9960" w:type="dxa"/>
            <w:gridSpan w:val="7"/>
            <w:tcMar>
              <w:top w:w="15" w:type="dxa"/>
              <w:left w:w="15" w:type="dxa"/>
              <w:bottom w:w="0" w:type="dxa"/>
              <w:right w:w="15" w:type="dxa"/>
            </w:tcMar>
            <w:vAlign w:val="center"/>
          </w:tcPr>
          <w:p>
            <w:pPr>
              <w:pStyle w:val="38"/>
              <w:pageBreakBefore w:val="0"/>
              <w:kinsoku/>
              <w:wordWrap/>
              <w:overflowPunct/>
              <w:topLinePunct w:val="0"/>
              <w:bidi w:val="0"/>
              <w:spacing w:line="480" w:lineRule="exact"/>
              <w:ind w:left="4173" w:leftChars="1310" w:hanging="1422" w:hangingChars="395"/>
              <w:textAlignment w:val="center"/>
              <w:rPr>
                <w:rFonts w:hint="eastAsia" w:ascii="黑体" w:hAnsi="黑体" w:eastAsia="黑体" w:cs="宋体"/>
                <w:bCs/>
                <w:color w:val="000000"/>
                <w:sz w:val="36"/>
                <w:szCs w:val="36"/>
                <w:lang w:bidi="ar"/>
              </w:rPr>
            </w:pPr>
          </w:p>
          <w:p>
            <w:pPr>
              <w:pStyle w:val="38"/>
              <w:pageBreakBefore w:val="0"/>
              <w:kinsoku/>
              <w:wordWrap/>
              <w:overflowPunct/>
              <w:topLinePunct w:val="0"/>
              <w:bidi w:val="0"/>
              <w:spacing w:line="480" w:lineRule="exact"/>
              <w:ind w:left="4173" w:leftChars="1310" w:hanging="1422" w:hangingChars="395"/>
              <w:textAlignment w:val="center"/>
              <w:rPr>
                <w:rFonts w:hint="eastAsia" w:ascii="黑体" w:hAnsi="黑体" w:eastAsia="黑体" w:cs="宋体"/>
                <w:bCs/>
                <w:color w:val="000000"/>
                <w:sz w:val="36"/>
                <w:szCs w:val="36"/>
                <w:lang w:bidi="ar"/>
              </w:rPr>
            </w:pPr>
          </w:p>
          <w:p>
            <w:pPr>
              <w:pStyle w:val="38"/>
              <w:pageBreakBefore w:val="0"/>
              <w:kinsoku/>
              <w:wordWrap/>
              <w:overflowPunct/>
              <w:topLinePunct w:val="0"/>
              <w:bidi w:val="0"/>
              <w:spacing w:line="480" w:lineRule="exact"/>
              <w:ind w:left="4173" w:leftChars="1310" w:hanging="1422" w:hangingChars="395"/>
              <w:textAlignment w:val="center"/>
              <w:rPr>
                <w:rFonts w:hint="eastAsia" w:ascii="黑体" w:hAnsi="黑体" w:eastAsia="黑体" w:cs="宋体"/>
                <w:bCs/>
                <w:color w:val="000000"/>
                <w:sz w:val="36"/>
                <w:szCs w:val="36"/>
                <w:lang w:bidi="ar"/>
              </w:rPr>
            </w:pPr>
          </w:p>
          <w:p>
            <w:pPr>
              <w:pStyle w:val="38"/>
              <w:pageBreakBefore w:val="0"/>
              <w:kinsoku/>
              <w:wordWrap/>
              <w:overflowPunct/>
              <w:topLinePunct w:val="0"/>
              <w:bidi w:val="0"/>
              <w:spacing w:line="480" w:lineRule="exact"/>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sz w:val="36"/>
                <w:szCs w:val="36"/>
                <w:lang w:bidi="ar"/>
              </w:rPr>
              <w:t>项目支出绩效目标完成情况表</w:t>
            </w:r>
            <w:r>
              <w:rPr>
                <w:rFonts w:hint="eastAsia" w:ascii="宋体" w:hAnsi="宋体" w:cs="宋体"/>
                <w:b/>
                <w:bCs/>
                <w:color w:val="000000"/>
                <w:sz w:val="36"/>
                <w:szCs w:val="36"/>
                <w:lang w:bidi="ar"/>
              </w:rPr>
              <w:br w:type="textWrapping"/>
            </w:r>
            <w:r>
              <w:rPr>
                <w:rFonts w:hint="eastAsia" w:ascii="宋体" w:hAnsi="宋体" w:cs="宋体"/>
                <w:color w:val="000000"/>
                <w:sz w:val="36"/>
                <w:szCs w:val="36"/>
                <w:lang w:bidi="ar"/>
              </w:rPr>
              <w:t>(20</w:t>
            </w:r>
            <w:r>
              <w:rPr>
                <w:rFonts w:hint="eastAsia" w:ascii="宋体" w:hAnsi="宋体" w:cs="宋体"/>
                <w:color w:val="000000"/>
                <w:sz w:val="36"/>
                <w:szCs w:val="36"/>
                <w:lang w:val="en-US" w:eastAsia="zh-CN" w:bidi="ar"/>
              </w:rPr>
              <w:t>20</w:t>
            </w:r>
            <w:r>
              <w:rPr>
                <w:rFonts w:hint="eastAsia" w:ascii="宋体" w:hAnsi="宋体" w:cs="宋体"/>
                <w:color w:val="000000"/>
                <w:sz w:val="36"/>
                <w:szCs w:val="36"/>
                <w:lang w:bidi="ar"/>
              </w:rPr>
              <w:t>年度)</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项目名称</w:t>
            </w:r>
          </w:p>
        </w:tc>
        <w:tc>
          <w:tcPr>
            <w:tcW w:w="7178"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营销宣传</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预算单位</w:t>
            </w:r>
          </w:p>
        </w:tc>
        <w:tc>
          <w:tcPr>
            <w:tcW w:w="7178"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达古冰川风景名胜区管理局</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预算数:</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320万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319.94万</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其中-财政拨款:</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320万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319.94万</w:t>
            </w:r>
          </w:p>
        </w:tc>
      </w:tr>
      <w:tr>
        <w:tblPrEx>
          <w:tblCellMar>
            <w:top w:w="0" w:type="dxa"/>
            <w:left w:w="0" w:type="dxa"/>
            <w:bottom w:w="0" w:type="dxa"/>
            <w:right w:w="0" w:type="dxa"/>
          </w:tblCellMar>
        </w:tblPrEx>
        <w:trPr>
          <w:trHeight w:val="161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其它资金:</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年度目标完成情况</w:t>
            </w:r>
          </w:p>
        </w:tc>
        <w:tc>
          <w:tcPr>
            <w:tcW w:w="4784"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4784"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期2020年达古冰川通过景区越野赛、常规媒体11家、电台2家、电视台8家、LED大屏、地铁、电梯、道闸、机场。户外制作安装、户外制作安装、旅行商社5家、景区宣传片及影像资料制作、微信微博宣传、抖音、小红书继续把握“做优名气、做强人气”的原则，同时强化重点宣传平台，着力打响以“诗无达古、四季精彩”为核心，“圣洁冰川”“冰雪消夏”“康养胜地”“中国彩林之乡”的四季冰山旅游品牌。同时提升达古冰川景区影响力。预期完成全年目标。</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xml:space="preserve">                                                                                                                                                                                                                                                                  </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2020年实际完成目标100%.</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二级指标</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实际完成指标值(包含数字及文字描述)</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达到的社会效益</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通过节庆活动的宣传，吸引了更多的游客到达古冰川来旅游、对黑水县的老百姓在经济收入上也有所增加</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xml:space="preserve">全面完成2020年节活动、媒体、微信、广播电视、抖音等宣传推广，对其黑水县整个旅游产品及知名度得到了大弧度的提升，达到了很好的宣传效果      </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达到的经济效益</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大力发展旅游也是丰富旅游产品体系、拓展旅游消费空阆促进旅游业转型升级的必然要求，是盘活旅游资源、能拓展经济发展新空间具有十分重要的意义。结合活动宣传，景区带来门票年收入在1000万以上。景区的所有活动都吸引来了八方游客，对整个黑水县老百姓收入有一定的提高。更是对黑水旅游做了大弧度宣传推广。</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xml:space="preserve">完成上级下达全年目标                                                                                  </w:t>
            </w: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满意度指标</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达古冰川景区在2020年进行的宣传推广都是在结合春、夏、秋、冬四季和实际于年底全面完成，通过验收，结案报告与活动方案完全相符，并达到了非常好的效果。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在宣传推广项目执行中随时跟踪进度情况，做到了认真有效的完成各个项目的执行情况，通过验收每一个项目在宣传栏里的浏览、点击率、包括评价达到了非常好效果。</w:t>
            </w:r>
          </w:p>
        </w:tc>
      </w:tr>
    </w:tbl>
    <w:p>
      <w:pPr>
        <w:pageBreakBefore w:val="0"/>
        <w:kinsoku/>
        <w:wordWrap/>
        <w:overflowPunct/>
        <w:topLinePunct w:val="0"/>
        <w:bidi w:val="0"/>
        <w:spacing w:line="480" w:lineRule="exact"/>
        <w:ind w:left="630"/>
        <w:rPr>
          <w:rFonts w:ascii="仿宋_GB2312" w:hAnsi="仿宋_GB2312" w:eastAsia="仿宋_GB2312" w:cs="仿宋_GB2312"/>
          <w:sz w:val="32"/>
          <w:szCs w:val="32"/>
        </w:rPr>
      </w:pPr>
    </w:p>
    <w:p>
      <w:pPr>
        <w:pageBreakBefore w:val="0"/>
        <w:kinsoku/>
        <w:wordWrap/>
        <w:overflowPunct/>
        <w:topLinePunct w:val="0"/>
        <w:bidi w:val="0"/>
        <w:spacing w:line="480" w:lineRule="exact"/>
        <w:ind w:left="630"/>
        <w:rPr>
          <w:rFonts w:ascii="仿宋_GB2312" w:hAnsi="仿宋_GB2312" w:eastAsia="仿宋_GB2312" w:cs="仿宋_GB2312"/>
          <w:sz w:val="32"/>
          <w:szCs w:val="32"/>
        </w:rPr>
      </w:pPr>
      <w:r>
        <w:rPr>
          <w:rFonts w:ascii="楷体_GB2312" w:hAnsi="楷体_GB2312" w:eastAsia="楷体_GB2312" w:cs="楷体_GB2312"/>
          <w:sz w:val="32"/>
          <w:szCs w:val="32"/>
        </w:rPr>
        <w:t>2.</w:t>
      </w:r>
      <w:r>
        <w:rPr>
          <w:rFonts w:hint="eastAsia" w:ascii="楷体_GB2312" w:hAnsi="楷体_GB2312" w:eastAsia="楷体_GB2312" w:cs="楷体_GB2312"/>
          <w:sz w:val="32"/>
          <w:szCs w:val="32"/>
        </w:rPr>
        <w:t>部门绩效评价结果。</w:t>
      </w:r>
    </w:p>
    <w:p>
      <w:pPr>
        <w:pageBreakBefore w:val="0"/>
        <w:kinsoku/>
        <w:wordWrap/>
        <w:overflowPunct/>
        <w:topLinePunct w:val="0"/>
        <w:bidi w:val="0"/>
        <w:spacing w:line="4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年部门整体支出绩效评价情况开展自评，《</w:t>
      </w:r>
      <w:r>
        <w:rPr>
          <w:rFonts w:hint="eastAsia" w:ascii="仿宋_GB2312" w:hAnsi="仿宋_GB2312" w:eastAsia="仿宋_GB2312" w:cs="仿宋_GB2312"/>
          <w:sz w:val="32"/>
          <w:szCs w:val="32"/>
          <w:lang w:val="en-US" w:eastAsia="zh-CN"/>
        </w:rPr>
        <w:t>达古冰川管理局</w:t>
      </w:r>
      <w:r>
        <w:rPr>
          <w:rFonts w:hint="eastAsia" w:ascii="仿宋_GB2312" w:hAnsi="仿宋_GB2312" w:eastAsia="仿宋_GB2312" w:cs="仿宋_GB2312"/>
          <w:sz w:val="32"/>
          <w:szCs w:val="32"/>
        </w:rPr>
        <w:t>部门</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年部门整体支出绩效评价报告》见附件（附件</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p>
    <w:p>
      <w:pPr>
        <w:pageBreakBefore w:val="0"/>
        <w:kinsoku/>
        <w:wordWrap/>
        <w:overflowPunct/>
        <w:topLinePunct w:val="0"/>
        <w:bidi w:val="0"/>
        <w:spacing w:line="480" w:lineRule="exact"/>
        <w:ind w:firstLine="640" w:firstLineChars="200"/>
        <w:rPr>
          <w:rFonts w:ascii="仿宋_GB2312" w:eastAsia="仿宋_GB2312"/>
          <w:b/>
          <w:color w:val="000000"/>
          <w:sz w:val="32"/>
          <w:szCs w:val="32"/>
        </w:rPr>
      </w:pPr>
      <w:r>
        <w:rPr>
          <w:rFonts w:hint="eastAsia" w:ascii="仿宋_GB2312" w:hAnsi="仿宋_GB2312" w:eastAsia="仿宋_GB2312" w:cs="仿宋_GB2312"/>
          <w:sz w:val="32"/>
          <w:szCs w:val="32"/>
        </w:rPr>
        <w:t>本部门自行组织对</w:t>
      </w:r>
      <w:r>
        <w:rPr>
          <w:rFonts w:hint="eastAsia" w:ascii="仿宋_GB2312" w:hAnsi="仿宋_GB2312" w:eastAsia="仿宋_GB2312" w:cs="仿宋_GB2312"/>
          <w:sz w:val="32"/>
          <w:szCs w:val="32"/>
          <w:lang w:val="en-US" w:eastAsia="zh-CN"/>
        </w:rPr>
        <w:t>标识标牌更换及提升改造</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en-US" w:eastAsia="zh-CN"/>
        </w:rPr>
        <w:t>景区9.13大型山洪泥石流应急抢险修复工程</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景区道路边坡灾害治理项目、罗毕牧场河道防洪治涝生态修复项目、宣传促销项目</w:t>
      </w:r>
      <w:r>
        <w:rPr>
          <w:rFonts w:hint="eastAsia" w:ascii="仿宋_GB2312" w:hAnsi="仿宋_GB2312" w:eastAsia="仿宋_GB2312" w:cs="仿宋_GB2312"/>
          <w:sz w:val="32"/>
          <w:szCs w:val="32"/>
        </w:rPr>
        <w:t>开展了绩效评价，《</w:t>
      </w:r>
      <w:r>
        <w:rPr>
          <w:rFonts w:hint="eastAsia" w:ascii="仿宋_GB2312" w:hAnsi="仿宋_GB2312" w:eastAsia="仿宋_GB2312" w:cs="仿宋_GB2312"/>
          <w:sz w:val="32"/>
          <w:szCs w:val="32"/>
          <w:lang w:val="en-US" w:eastAsia="zh-CN"/>
        </w:rPr>
        <w:t>标识标牌更换及提升改造</w:t>
      </w:r>
      <w:r>
        <w:rPr>
          <w:rFonts w:hint="eastAsia" w:ascii="仿宋_GB2312" w:hAnsi="仿宋_GB2312" w:eastAsia="仿宋_GB2312" w:cs="仿宋_GB2312"/>
          <w:sz w:val="32"/>
          <w:szCs w:val="32"/>
        </w:rPr>
        <w:t>项目</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年绩效评价报告》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景区9.13大型山洪泥石流应急抢险修复工程</w:t>
      </w:r>
      <w:r>
        <w:rPr>
          <w:rFonts w:hint="eastAsia" w:ascii="仿宋_GB2312" w:hAnsi="仿宋_GB2312" w:eastAsia="仿宋_GB2312" w:cs="仿宋_GB2312"/>
          <w:sz w:val="32"/>
          <w:szCs w:val="32"/>
        </w:rPr>
        <w:t>项目</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年绩效评价报告》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景区道路边坡灾害治理项目</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年绩效评价报告》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罗毕牧场河道防洪治涝生态修复项目</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年绩效评价报告》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宣传促销项目</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年绩效评价报告》见附件（附件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p>
    <w:p>
      <w:pPr>
        <w:pageBreakBefore w:val="0"/>
        <w:widowControl/>
        <w:kinsoku/>
        <w:wordWrap/>
        <w:overflowPunct/>
        <w:topLinePunct w:val="0"/>
        <w:bidi w:val="0"/>
        <w:spacing w:line="480" w:lineRule="exact"/>
        <w:jc w:val="left"/>
        <w:rPr>
          <w:rFonts w:ascii="仿宋_GB2312" w:eastAsia="仿宋_GB2312"/>
          <w:b/>
          <w:color w:val="000000"/>
          <w:sz w:val="32"/>
          <w:szCs w:val="32"/>
        </w:rPr>
      </w:pPr>
      <w:r>
        <w:rPr>
          <w:rFonts w:ascii="仿宋_GB2312" w:eastAsia="仿宋_GB2312"/>
          <w:b/>
          <w:color w:val="000000"/>
          <w:sz w:val="32"/>
          <w:szCs w:val="32"/>
        </w:rPr>
        <w:br w:type="page"/>
      </w:r>
    </w:p>
    <w:p>
      <w:pPr>
        <w:pageBreakBefore w:val="0"/>
        <w:numPr>
          <w:ilvl w:val="0"/>
          <w:numId w:val="3"/>
        </w:numPr>
        <w:kinsoku/>
        <w:wordWrap/>
        <w:overflowPunct/>
        <w:topLinePunct w:val="0"/>
        <w:bidi w:val="0"/>
        <w:spacing w:line="480" w:lineRule="exact"/>
        <w:ind w:firstLine="660" w:firstLineChars="150"/>
        <w:jc w:val="center"/>
        <w:outlineLvl w:val="0"/>
        <w:rPr>
          <w:rStyle w:val="23"/>
          <w:rFonts w:ascii="黑体" w:hAnsi="黑体" w:eastAsia="黑体"/>
          <w:b w:val="0"/>
        </w:rPr>
      </w:pPr>
      <w:bookmarkStart w:id="105" w:name="_Toc79163879"/>
      <w:bookmarkStart w:id="106" w:name="_Toc15396613"/>
      <w:bookmarkStart w:id="107" w:name="_Toc79163629"/>
      <w:bookmarkStart w:id="108" w:name="_Toc15377225"/>
      <w:r>
        <w:rPr>
          <w:rFonts w:hint="eastAsia" w:ascii="黑体" w:hAnsi="黑体" w:eastAsia="黑体"/>
          <w:color w:val="000000"/>
          <w:sz w:val="44"/>
          <w:szCs w:val="44"/>
        </w:rPr>
        <w:t>名</w:t>
      </w:r>
      <w:r>
        <w:rPr>
          <w:rStyle w:val="23"/>
          <w:rFonts w:hint="eastAsia" w:ascii="黑体" w:hAnsi="黑体" w:eastAsia="黑体"/>
          <w:b w:val="0"/>
        </w:rPr>
        <w:t>词解释</w:t>
      </w:r>
      <w:bookmarkEnd w:id="105"/>
      <w:bookmarkEnd w:id="106"/>
      <w:bookmarkEnd w:id="107"/>
      <w:bookmarkEnd w:id="108"/>
    </w:p>
    <w:p>
      <w:pPr>
        <w:pageBreakBefore w:val="0"/>
        <w:kinsoku/>
        <w:wordWrap/>
        <w:overflowPunct/>
        <w:topLinePunct w:val="0"/>
        <w:bidi w:val="0"/>
        <w:spacing w:line="480" w:lineRule="exact"/>
        <w:jc w:val="left"/>
        <w:rPr>
          <w:rFonts w:ascii="宋体"/>
          <w:b/>
          <w:color w:val="000000"/>
          <w:sz w:val="44"/>
          <w:szCs w:val="44"/>
        </w:rPr>
      </w:pPr>
    </w:p>
    <w:p>
      <w:pPr>
        <w:pStyle w:val="33"/>
        <w:pageBreakBefore w:val="0"/>
        <w:kinsoku/>
        <w:wordWrap/>
        <w:overflowPunct/>
        <w:topLinePunct w:val="0"/>
        <w:bidi w:val="0"/>
        <w:spacing w:line="48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33"/>
        <w:pageBreakBefore w:val="0"/>
        <w:kinsoku/>
        <w:wordWrap/>
        <w:overflowPunct/>
        <w:topLinePunct w:val="0"/>
        <w:bidi w:val="0"/>
        <w:spacing w:line="480" w:lineRule="exact"/>
        <w:ind w:firstLine="640" w:firstLineChars="200"/>
        <w:rPr>
          <w:rFonts w:hint="eastAsia"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w:t>
      </w:r>
    </w:p>
    <w:p>
      <w:pPr>
        <w:pStyle w:val="33"/>
        <w:pageBreakBefore w:val="0"/>
        <w:kinsoku/>
        <w:wordWrap/>
        <w:overflowPunct/>
        <w:topLinePunct w:val="0"/>
        <w:bidi w:val="0"/>
        <w:spacing w:line="48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w:t>
      </w:r>
    </w:p>
    <w:p>
      <w:pPr>
        <w:pStyle w:val="33"/>
        <w:pageBreakBefore w:val="0"/>
        <w:kinsoku/>
        <w:wordWrap/>
        <w:overflowPunct/>
        <w:topLinePunct w:val="0"/>
        <w:bidi w:val="0"/>
        <w:spacing w:line="48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w:t>
      </w:r>
    </w:p>
    <w:p>
      <w:pPr>
        <w:pStyle w:val="33"/>
        <w:pageBreakBefore w:val="0"/>
        <w:kinsoku/>
        <w:wordWrap/>
        <w:overflowPunct/>
        <w:topLinePunct w:val="0"/>
        <w:bidi w:val="0"/>
        <w:spacing w:line="48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使用非财政拨款结余：指事业单位使用以前年度积累的非财政拨款结余弥补当年收支差额的金额。</w:t>
      </w:r>
      <w:r>
        <w:rPr>
          <w:rFonts w:ascii="仿宋_GB2312" w:eastAsia="仿宋_GB2312"/>
          <w:sz w:val="32"/>
          <w:szCs w:val="32"/>
        </w:rPr>
        <w:t xml:space="preserve"> </w:t>
      </w:r>
    </w:p>
    <w:p>
      <w:pPr>
        <w:pStyle w:val="33"/>
        <w:pageBreakBefore w:val="0"/>
        <w:kinsoku/>
        <w:wordWrap/>
        <w:overflowPunct/>
        <w:topLinePunct w:val="0"/>
        <w:bidi w:val="0"/>
        <w:spacing w:line="48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33"/>
        <w:pageBreakBefore w:val="0"/>
        <w:kinsoku/>
        <w:wordWrap/>
        <w:overflowPunct/>
        <w:topLinePunct w:val="0"/>
        <w:bidi w:val="0"/>
        <w:spacing w:line="48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结余分配：指事业单位按照会计制度规定缴纳的所得税、提取的专用结余以及转入非财政拨款结余的金额等。</w:t>
      </w:r>
    </w:p>
    <w:p>
      <w:pPr>
        <w:pStyle w:val="33"/>
        <w:pageBreakBefore w:val="0"/>
        <w:kinsoku/>
        <w:wordWrap/>
        <w:overflowPunct/>
        <w:topLinePunct w:val="0"/>
        <w:bidi w:val="0"/>
        <w:spacing w:line="48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keepNext w:val="0"/>
        <w:keepLines w:val="0"/>
        <w:pageBreakBefore w:val="0"/>
        <w:widowControl w:val="0"/>
        <w:kinsoku/>
        <w:wordWrap/>
        <w:overflowPunct/>
        <w:topLinePunct w:val="0"/>
        <w:bidi w:val="0"/>
        <w:snapToGrid/>
        <w:spacing w:line="48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9.</w:t>
      </w:r>
      <w:r>
        <w:rPr>
          <w:rFonts w:hint="eastAsia" w:ascii="仿宋" w:hAnsi="仿宋" w:eastAsia="仿宋" w:cs="仿宋"/>
          <w:color w:val="000000"/>
          <w:sz w:val="32"/>
          <w:szCs w:val="32"/>
          <w:lang w:eastAsia="zh-CN"/>
        </w:rPr>
        <w:t>机关事业单位基本养老保险缴费支出</w:t>
      </w:r>
      <w:r>
        <w:rPr>
          <w:rFonts w:hint="eastAsia" w:ascii="仿宋" w:hAnsi="仿宋" w:eastAsia="仿宋" w:cs="仿宋"/>
          <w:color w:val="000000"/>
          <w:sz w:val="32"/>
          <w:szCs w:val="32"/>
        </w:rPr>
        <w:t>：指</w:t>
      </w:r>
      <w:r>
        <w:rPr>
          <w:rFonts w:hint="eastAsia" w:ascii="仿宋" w:hAnsi="仿宋" w:eastAsia="仿宋" w:cs="仿宋"/>
          <w:color w:val="000000"/>
          <w:sz w:val="32"/>
          <w:szCs w:val="32"/>
          <w:lang w:eastAsia="zh-CN"/>
        </w:rPr>
        <w:t>机关事业单位实施养老保险制度由单位缴纳的基本养老保险费支出</w:t>
      </w:r>
      <w:r>
        <w:rPr>
          <w:rFonts w:hint="eastAsia" w:ascii="仿宋" w:hAnsi="仿宋" w:eastAsia="仿宋" w:cs="仿宋"/>
          <w:color w:val="000000"/>
          <w:sz w:val="32"/>
          <w:szCs w:val="32"/>
        </w:rPr>
        <w:t>。</w:t>
      </w:r>
    </w:p>
    <w:p>
      <w:pPr>
        <w:keepNext w:val="0"/>
        <w:keepLines w:val="0"/>
        <w:pageBreakBefore w:val="0"/>
        <w:widowControl w:val="0"/>
        <w:kinsoku/>
        <w:wordWrap/>
        <w:overflowPunct/>
        <w:topLinePunct w:val="0"/>
        <w:bidi w:val="0"/>
        <w:snapToGrid/>
        <w:spacing w:line="48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10.</w:t>
      </w:r>
      <w:r>
        <w:rPr>
          <w:rFonts w:hint="eastAsia" w:ascii="仿宋" w:hAnsi="仿宋" w:eastAsia="仿宋" w:cs="仿宋"/>
          <w:color w:val="000000"/>
          <w:sz w:val="32"/>
          <w:szCs w:val="32"/>
          <w:lang w:val="en-US" w:eastAsia="zh-CN"/>
        </w:rPr>
        <w:t>机关事业单位职业年金缴费支出：指机关事业单位实施养老保险制度由单位实际缴纳的职业年金支出。</w:t>
      </w:r>
    </w:p>
    <w:p>
      <w:pPr>
        <w:keepNext w:val="0"/>
        <w:keepLines w:val="0"/>
        <w:pageBreakBefore w:val="0"/>
        <w:widowControl w:val="0"/>
        <w:kinsoku/>
        <w:wordWrap/>
        <w:overflowPunct/>
        <w:topLinePunct w:val="0"/>
        <w:bidi w:val="0"/>
        <w:snapToGrid/>
        <w:spacing w:line="480" w:lineRule="exact"/>
        <w:ind w:firstLine="640" w:firstLineChars="200"/>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11.</w:t>
      </w:r>
      <w:r>
        <w:rPr>
          <w:rFonts w:hint="eastAsia" w:ascii="仿宋" w:hAnsi="仿宋" w:eastAsia="仿宋" w:cs="仿宋"/>
          <w:color w:val="000000"/>
          <w:sz w:val="32"/>
          <w:szCs w:val="32"/>
          <w:lang w:val="en-US" w:eastAsia="zh-CN"/>
        </w:rPr>
        <w:t>住房公积金：指行政事业单位按人力资源和社会保障部、财政部规定的基本工资和津贴补贴以及规定比例为职工缴纳的住房公积金。</w:t>
      </w:r>
    </w:p>
    <w:p>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12</w:t>
      </w:r>
      <w:r>
        <w:rPr>
          <w:rFonts w:hint="eastAsia" w:ascii="仿宋" w:hAnsi="仿宋" w:eastAsia="仿宋" w:cs="仿宋"/>
          <w:color w:val="000000"/>
          <w:sz w:val="32"/>
          <w:szCs w:val="32"/>
        </w:rPr>
        <w:t>.基本支出：指为保障机构正常运转、完成日常工作任务而发生的人员支出和公用支出。</w:t>
      </w:r>
    </w:p>
    <w:p>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13</w:t>
      </w:r>
      <w:r>
        <w:rPr>
          <w:rFonts w:hint="eastAsia" w:ascii="仿宋" w:hAnsi="仿宋" w:eastAsia="仿宋" w:cs="仿宋"/>
          <w:color w:val="000000"/>
          <w:sz w:val="32"/>
          <w:szCs w:val="32"/>
        </w:rPr>
        <w:t xml:space="preserve">.项目支出：指在基本支出之外为完成特定行政任务和事业发展目标所发生的支出。 </w:t>
      </w:r>
    </w:p>
    <w:p>
      <w:pPr>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14</w:t>
      </w:r>
      <w:r>
        <w:rPr>
          <w:rFonts w:hint="eastAsia" w:ascii="仿宋" w:hAnsi="仿宋" w:eastAsia="仿宋" w:cs="仿宋"/>
          <w:color w:val="000000"/>
          <w:sz w:val="32"/>
          <w:szCs w:val="32"/>
        </w:rPr>
        <w:t>.经营支出：指事业单位在专业业务活动及其辅助活动之外开展非独立核算经营活动发生的支出。</w:t>
      </w:r>
    </w:p>
    <w:p>
      <w:pPr>
        <w:pStyle w:val="33"/>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15</w:t>
      </w:r>
      <w:r>
        <w:rPr>
          <w:rFonts w:hint="eastAsia" w:ascii="仿宋" w:hAnsi="仿宋" w:eastAsia="仿宋" w:cs="仿宋"/>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33"/>
        <w:keepNext w:val="0"/>
        <w:keepLines w:val="0"/>
        <w:pageBreakBefore w:val="0"/>
        <w:widowControl w:val="0"/>
        <w:kinsoku/>
        <w:wordWrap/>
        <w:overflowPunct/>
        <w:topLinePunct w:val="0"/>
        <w:bidi w:val="0"/>
        <w:snapToGrid/>
        <w:spacing w:line="4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16</w:t>
      </w:r>
      <w:r>
        <w:rPr>
          <w:rFonts w:hint="eastAsia" w:ascii="仿宋" w:hAnsi="仿宋" w:eastAsia="仿宋" w:cs="仿宋"/>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ageBreakBefore w:val="0"/>
        <w:kinsoku/>
        <w:wordWrap/>
        <w:overflowPunct/>
        <w:topLinePunct w:val="0"/>
        <w:bidi w:val="0"/>
        <w:spacing w:line="480" w:lineRule="exact"/>
        <w:ind w:firstLine="640" w:firstLineChars="200"/>
        <w:rPr>
          <w:rFonts w:hint="eastAsia" w:ascii="仿宋" w:hAnsi="仿宋" w:eastAsia="仿宋" w:cs="仿宋"/>
          <w:sz w:val="32"/>
          <w:szCs w:val="32"/>
          <w:shd w:val="clear" w:color="auto" w:fill="FFFFFF"/>
        </w:rPr>
      </w:pPr>
      <w:r>
        <w:rPr>
          <w:rStyle w:val="21"/>
          <w:rFonts w:hint="eastAsia" w:ascii="仿宋" w:hAnsi="仿宋" w:eastAsia="仿宋" w:cs="仿宋"/>
          <w:b w:val="0"/>
          <w:bCs w:val="0"/>
          <w:color w:val="000000"/>
          <w:sz w:val="32"/>
          <w:szCs w:val="32"/>
          <w:lang w:val="en-US" w:eastAsia="zh-CN"/>
        </w:rPr>
        <w:t>17.</w:t>
      </w:r>
      <w:r>
        <w:rPr>
          <w:rStyle w:val="21"/>
          <w:rFonts w:hint="eastAsia" w:ascii="仿宋" w:hAnsi="仿宋" w:eastAsia="仿宋" w:cs="仿宋"/>
          <w:b w:val="0"/>
          <w:bCs w:val="0"/>
          <w:color w:val="000000"/>
          <w:sz w:val="32"/>
          <w:szCs w:val="32"/>
          <w:lang w:eastAsia="zh-CN"/>
        </w:rPr>
        <w:t>其他旅游业管理与服务支出</w:t>
      </w:r>
      <w:r>
        <w:rPr>
          <w:rStyle w:val="21"/>
          <w:rFonts w:hint="eastAsia" w:ascii="仿宋" w:hAnsi="仿宋" w:eastAsia="仿宋" w:cs="仿宋"/>
          <w:b w:val="0"/>
          <w:bCs w:val="0"/>
          <w:color w:val="000000"/>
          <w:sz w:val="32"/>
          <w:szCs w:val="32"/>
          <w:lang w:val="en-US" w:eastAsia="zh-CN"/>
        </w:rPr>
        <w:t>：指除上述项目以外其他用于旅游业管理与服务方面的支出。</w:t>
      </w:r>
      <w:r>
        <w:rPr>
          <w:rFonts w:hint="eastAsia" w:ascii="仿宋" w:hAnsi="仿宋" w:eastAsia="仿宋" w:cs="仿宋"/>
          <w:sz w:val="32"/>
          <w:szCs w:val="32"/>
          <w:shd w:val="clear" w:color="auto" w:fill="FFFFFF"/>
        </w:rPr>
        <w:t> </w:t>
      </w:r>
    </w:p>
    <w:p>
      <w:pPr>
        <w:pageBreakBefore w:val="0"/>
        <w:kinsoku/>
        <w:wordWrap/>
        <w:overflowPunct/>
        <w:topLinePunct w:val="0"/>
        <w:bidi w:val="0"/>
        <w:spacing w:line="480" w:lineRule="exact"/>
        <w:jc w:val="center"/>
        <w:outlineLvl w:val="0"/>
        <w:rPr>
          <w:rFonts w:hint="eastAsia" w:ascii="黑体" w:hAnsi="黑体" w:eastAsia="黑体"/>
          <w:color w:val="000000"/>
          <w:sz w:val="44"/>
          <w:szCs w:val="44"/>
        </w:rPr>
      </w:pPr>
      <w:bookmarkStart w:id="109" w:name="_Toc79163630"/>
      <w:bookmarkStart w:id="110" w:name="_Toc79163880"/>
      <w:bookmarkStart w:id="111" w:name="_Toc15396614"/>
      <w:bookmarkStart w:id="112" w:name="_Toc15377226"/>
    </w:p>
    <w:p>
      <w:pPr>
        <w:pageBreakBefore w:val="0"/>
        <w:kinsoku/>
        <w:wordWrap/>
        <w:overflowPunct/>
        <w:topLinePunct w:val="0"/>
        <w:bidi w:val="0"/>
        <w:spacing w:line="480" w:lineRule="exact"/>
        <w:jc w:val="center"/>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center"/>
        <w:outlineLvl w:val="0"/>
        <w:rPr>
          <w:rStyle w:val="23"/>
          <w:rFonts w:ascii="黑体" w:hAnsi="黑体" w:eastAsia="黑体"/>
          <w:b w:val="0"/>
        </w:rPr>
      </w:pPr>
      <w:r>
        <w:rPr>
          <w:rFonts w:hint="eastAsia" w:ascii="黑体" w:hAnsi="黑体" w:eastAsia="黑体"/>
          <w:color w:val="000000"/>
          <w:sz w:val="44"/>
          <w:szCs w:val="44"/>
        </w:rPr>
        <w:t>第</w:t>
      </w:r>
      <w:r>
        <w:rPr>
          <w:rStyle w:val="23"/>
          <w:rFonts w:hint="eastAsia" w:ascii="黑体" w:hAnsi="黑体" w:eastAsia="黑体"/>
          <w:b w:val="0"/>
        </w:rPr>
        <w:t>四部分</w:t>
      </w:r>
      <w:r>
        <w:rPr>
          <w:rStyle w:val="23"/>
          <w:rFonts w:ascii="黑体" w:hAnsi="黑体" w:eastAsia="黑体"/>
          <w:b w:val="0"/>
        </w:rPr>
        <w:t xml:space="preserve"> </w:t>
      </w:r>
      <w:r>
        <w:rPr>
          <w:rStyle w:val="23"/>
          <w:rFonts w:hint="eastAsia" w:ascii="黑体" w:hAnsi="黑体" w:eastAsia="黑体"/>
          <w:b w:val="0"/>
        </w:rPr>
        <w:t>附件</w:t>
      </w:r>
      <w:bookmarkEnd w:id="109"/>
      <w:bookmarkEnd w:id="110"/>
      <w:bookmarkEnd w:id="111"/>
    </w:p>
    <w:p>
      <w:pPr>
        <w:pageBreakBefore w:val="0"/>
        <w:kinsoku/>
        <w:wordWrap/>
        <w:overflowPunct/>
        <w:topLinePunct w:val="0"/>
        <w:bidi w:val="0"/>
        <w:spacing w:line="480" w:lineRule="exact"/>
        <w:jc w:val="left"/>
        <w:outlineLvl w:val="0"/>
        <w:rPr>
          <w:rFonts w:ascii="方正小标宋简体" w:hAnsi="方正小标宋简体" w:eastAsia="方正小标宋简体" w:cs="方正小标宋简体"/>
          <w:sz w:val="32"/>
          <w:szCs w:val="32"/>
        </w:rPr>
      </w:pPr>
      <w:bookmarkStart w:id="113" w:name="_Toc79163631"/>
      <w:bookmarkStart w:id="114" w:name="_Toc79163881"/>
      <w:r>
        <w:rPr>
          <w:rFonts w:hint="eastAsia" w:ascii="黑体" w:hAnsi="黑体" w:eastAsia="黑体" w:cs="黑体"/>
          <w:sz w:val="32"/>
          <w:szCs w:val="32"/>
        </w:rPr>
        <w:t>附件</w:t>
      </w:r>
      <w:r>
        <w:rPr>
          <w:rFonts w:ascii="黑体" w:hAnsi="黑体" w:eastAsia="黑体" w:cs="黑体"/>
          <w:sz w:val="32"/>
          <w:szCs w:val="32"/>
        </w:rPr>
        <w:t>1</w:t>
      </w:r>
      <w:bookmarkEnd w:id="113"/>
      <w:bookmarkEnd w:id="114"/>
    </w:p>
    <w:p>
      <w:pPr>
        <w:pageBreakBefore w:val="0"/>
        <w:kinsoku/>
        <w:wordWrap/>
        <w:overflowPunct/>
        <w:topLinePunct w:val="0"/>
        <w:bidi w:val="0"/>
        <w:spacing w:line="480" w:lineRule="exact"/>
        <w:jc w:val="center"/>
        <w:rPr>
          <w:rFonts w:ascii="方正小标宋简体" w:hAnsi="方正小标宋简体" w:eastAsia="方正小标宋简体" w:cs="方正小标宋简体"/>
          <w:sz w:val="44"/>
          <w:szCs w:val="44"/>
        </w:rPr>
      </w:pPr>
    </w:p>
    <w:p>
      <w:pPr>
        <w:keepNext w:val="0"/>
        <w:keepLines w:val="0"/>
        <w:pageBreakBefore w:val="0"/>
        <w:kinsoku/>
        <w:wordWrap/>
        <w:overflowPunct/>
        <w:topLinePunct w:val="0"/>
        <w:autoSpaceDE/>
        <w:autoSpaceDN/>
        <w:bidi w:val="0"/>
        <w:adjustRightInd/>
        <w:snapToGrid/>
        <w:spacing w:beforeAutospacing="0" w:afterAutospacing="0" w:line="480" w:lineRule="exact"/>
        <w:ind w:right="0" w:rightChars="0" w:firstLine="720" w:firstLineChars="200"/>
        <w:jc w:val="center"/>
        <w:textAlignment w:val="auto"/>
        <w:outlineLvl w:val="9"/>
        <w:rPr>
          <w:rFonts w:hint="eastAsia" w:ascii="黑体" w:hAnsi="黑体" w:eastAsia="黑体" w:cs="黑体"/>
          <w:color w:val="auto"/>
          <w:sz w:val="36"/>
          <w:szCs w:val="36"/>
        </w:rPr>
      </w:pPr>
      <w:r>
        <w:rPr>
          <w:rFonts w:hint="eastAsia" w:ascii="黑体" w:hAnsi="黑体" w:eastAsia="黑体" w:cs="黑体"/>
          <w:color w:val="auto"/>
          <w:sz w:val="36"/>
          <w:szCs w:val="36"/>
          <w:lang w:eastAsia="zh-CN"/>
        </w:rPr>
        <w:t>达古冰川</w:t>
      </w:r>
      <w:r>
        <w:rPr>
          <w:rFonts w:hint="eastAsia" w:ascii="黑体" w:hAnsi="黑体" w:eastAsia="黑体" w:cs="黑体"/>
          <w:color w:val="auto"/>
          <w:sz w:val="36"/>
          <w:szCs w:val="36"/>
        </w:rPr>
        <w:t>管理局</w:t>
      </w:r>
    </w:p>
    <w:p>
      <w:pPr>
        <w:keepNext w:val="0"/>
        <w:keepLines w:val="0"/>
        <w:pageBreakBefore w:val="0"/>
        <w:kinsoku/>
        <w:wordWrap/>
        <w:overflowPunct/>
        <w:topLinePunct w:val="0"/>
        <w:autoSpaceDE/>
        <w:autoSpaceDN/>
        <w:bidi w:val="0"/>
        <w:adjustRightInd/>
        <w:snapToGrid/>
        <w:spacing w:beforeAutospacing="0" w:afterAutospacing="0" w:line="480" w:lineRule="exact"/>
        <w:ind w:right="0" w:rightChars="0" w:firstLine="720" w:firstLineChars="200"/>
        <w:jc w:val="center"/>
        <w:textAlignment w:val="auto"/>
        <w:outlineLvl w:val="9"/>
        <w:rPr>
          <w:rFonts w:hint="eastAsia" w:ascii="黑体" w:hAnsi="黑体" w:eastAsia="黑体" w:cs="黑体"/>
          <w:color w:val="auto"/>
          <w:sz w:val="36"/>
          <w:szCs w:val="36"/>
        </w:rPr>
      </w:pPr>
      <w:r>
        <w:rPr>
          <w:rFonts w:hint="eastAsia" w:ascii="黑体" w:hAnsi="黑体" w:eastAsia="黑体" w:cs="黑体"/>
          <w:color w:val="auto"/>
          <w:sz w:val="36"/>
          <w:szCs w:val="36"/>
          <w:lang w:val="en-US" w:eastAsia="zh-CN"/>
        </w:rPr>
        <w:t>2020年</w:t>
      </w:r>
      <w:r>
        <w:rPr>
          <w:rFonts w:hint="eastAsia" w:ascii="黑体" w:hAnsi="黑体" w:eastAsia="黑体" w:cs="黑体"/>
          <w:color w:val="auto"/>
          <w:sz w:val="36"/>
          <w:szCs w:val="36"/>
        </w:rPr>
        <w:t>整体支出绩效自评报告</w:t>
      </w:r>
    </w:p>
    <w:p>
      <w:pPr>
        <w:keepNext w:val="0"/>
        <w:keepLines w:val="0"/>
        <w:pageBreakBefore w:val="0"/>
        <w:kinsoku/>
        <w:wordWrap/>
        <w:overflowPunct/>
        <w:topLinePunct w:val="0"/>
        <w:autoSpaceDE/>
        <w:autoSpaceDN/>
        <w:bidi w:val="0"/>
        <w:adjustRightInd/>
        <w:snapToGrid/>
        <w:spacing w:beforeAutospacing="0" w:afterAutospacing="0" w:line="480" w:lineRule="exact"/>
        <w:ind w:right="0" w:rightChars="0" w:firstLine="720" w:firstLineChars="200"/>
        <w:jc w:val="center"/>
        <w:textAlignment w:val="auto"/>
        <w:outlineLvl w:val="9"/>
        <w:rPr>
          <w:rFonts w:hint="eastAsia" w:ascii="黑体" w:hAnsi="黑体" w:eastAsia="黑体" w:cs="黑体"/>
          <w:color w:val="auto"/>
          <w:sz w:val="36"/>
          <w:szCs w:val="36"/>
        </w:rPr>
      </w:pPr>
    </w:p>
    <w:p>
      <w:pPr>
        <w:keepNext w:val="0"/>
        <w:keepLines w:val="0"/>
        <w:pageBreakBefore w:val="0"/>
        <w:kinsoku/>
        <w:wordWrap/>
        <w:overflowPunct/>
        <w:topLinePunct w:val="0"/>
        <w:autoSpaceDE/>
        <w:autoSpaceDN/>
        <w:bidi w:val="0"/>
        <w:adjustRightInd/>
        <w:snapToGrid/>
        <w:spacing w:beforeAutospacing="0" w:afterAutospacing="0" w:line="480" w:lineRule="exact"/>
        <w:ind w:right="0" w:rightChars="0" w:firstLine="643" w:firstLineChars="200"/>
        <w:textAlignment w:val="auto"/>
        <w:outlineLvl w:val="9"/>
        <w:rPr>
          <w:rFonts w:hint="eastAsia" w:ascii="仿宋" w:hAnsi="仿宋" w:eastAsia="仿宋" w:cs="仿宋"/>
          <w:b/>
          <w:color w:val="auto"/>
          <w:sz w:val="32"/>
          <w:szCs w:val="32"/>
        </w:rPr>
      </w:pPr>
      <w:r>
        <w:rPr>
          <w:rFonts w:hint="eastAsia" w:ascii="仿宋" w:hAnsi="仿宋" w:eastAsia="仿宋" w:cs="仿宋"/>
          <w:b/>
          <w:color w:val="auto"/>
          <w:sz w:val="32"/>
          <w:szCs w:val="32"/>
        </w:rPr>
        <w:t>一、基本情况</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机构组成：达古冰川景区位于黑水县境内，保护面积632平方公里，旅游规划面积210平方公里，其中核心游览区面积119平公里，是集冰川、雪山、彩林、湖泊、红石、森林、草甸、藏寨、红色文化、动植物资源于一体的复合型景区。达古冰川风景名胜区管理局于2003年12月正式组建成立，2005年成立四川三打古自然保护区，同年6月,州机构编制委员会研究决定：达古冰川风景名胜区管理局采</w:t>
      </w:r>
      <w:r>
        <w:rPr>
          <w:rFonts w:hint="eastAsia" w:ascii="仿宋" w:hAnsi="仿宋" w:eastAsia="仿宋" w:cs="仿宋"/>
          <w:color w:val="auto"/>
          <w:kern w:val="2"/>
          <w:sz w:val="32"/>
          <w:szCs w:val="32"/>
          <w:lang w:val="en-US" w:eastAsia="zh-CN" w:bidi="ar-SA"/>
        </w:rPr>
        <w:t>用“一套人马、两块牌子”的管理体制。根据阿编办（2019）36号文件，我局为州政府直属事业单位，核定事业编制86名，内设机构16个，无下属二级单位。</w:t>
      </w:r>
    </w:p>
    <w:p>
      <w:pPr>
        <w:keepNext w:val="0"/>
        <w:keepLines w:val="0"/>
        <w:pageBreakBefore w:val="0"/>
        <w:kinsoku/>
        <w:wordWrap/>
        <w:overflowPunct/>
        <w:topLinePunct w:val="0"/>
        <w:autoSpaceDE/>
        <w:autoSpaceDN/>
        <w:bidi w:val="0"/>
        <w:adjustRightInd/>
        <w:snapToGrid/>
        <w:spacing w:beforeAutospacing="0" w:afterAutospacing="0" w:line="480" w:lineRule="exact"/>
        <w:ind w:right="0" w:rightChars="0" w:firstLine="640" w:firstLineChars="200"/>
        <w:textAlignment w:val="auto"/>
        <w:outlineLvl w:val="9"/>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2、机构职能：保护辖区内的生物多样性和冰川等自然资源，有效维护生态平衡及原真性；负责景区管理、规划、建设、旅游服务及产品开发。</w:t>
      </w:r>
    </w:p>
    <w:p>
      <w:pPr>
        <w:keepNext w:val="0"/>
        <w:keepLines w:val="0"/>
        <w:pageBreakBefore w:val="0"/>
        <w:kinsoku/>
        <w:wordWrap/>
        <w:overflowPunct/>
        <w:topLinePunct w:val="0"/>
        <w:autoSpaceDE/>
        <w:autoSpaceDN/>
        <w:bidi w:val="0"/>
        <w:adjustRightInd/>
        <w:snapToGrid/>
        <w:spacing w:beforeAutospacing="0" w:afterAutospacing="0" w:line="480" w:lineRule="exact"/>
        <w:ind w:right="0" w:rightChars="0" w:firstLine="640" w:firstLineChars="200"/>
        <w:textAlignment w:val="auto"/>
        <w:outlineLvl w:val="9"/>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3、人员概况：根据阿编办（2019）36号文件核定编制86名，设管理岗位46个，专业技术岗位19个，工勤技能岗位21个。长期临时人员20名，季节性临时用工40名。2021年6月实有在编人员76人（其中有两名属管理与专业技术双肩挑人员），管理人员40名、专业技术人员19名、工勤人员19名；长期临时人员20名，季节性临时用工30名。另外10名季节性用工正在招聘中。</w:t>
      </w:r>
    </w:p>
    <w:p>
      <w:pPr>
        <w:keepNext w:val="0"/>
        <w:keepLines w:val="0"/>
        <w:pageBreakBefore w:val="0"/>
        <w:kinsoku/>
        <w:wordWrap/>
        <w:overflowPunct/>
        <w:topLinePunct w:val="0"/>
        <w:autoSpaceDE/>
        <w:autoSpaceDN/>
        <w:bidi w:val="0"/>
        <w:adjustRightInd/>
        <w:snapToGrid/>
        <w:spacing w:beforeAutospacing="0" w:afterAutospacing="0" w:line="480" w:lineRule="exact"/>
        <w:ind w:right="0" w:rightChars="0" w:firstLine="643" w:firstLineChars="200"/>
        <w:textAlignment w:val="auto"/>
        <w:outlineLvl w:val="9"/>
        <w:rPr>
          <w:rFonts w:hint="eastAsia" w:ascii="仿宋" w:hAnsi="仿宋" w:eastAsia="仿宋" w:cs="仿宋"/>
          <w:color w:val="auto"/>
          <w:sz w:val="32"/>
          <w:szCs w:val="32"/>
        </w:rPr>
      </w:pPr>
      <w:r>
        <w:rPr>
          <w:rFonts w:hint="eastAsia" w:ascii="仿宋" w:hAnsi="仿宋" w:eastAsia="仿宋" w:cs="仿宋"/>
          <w:b/>
          <w:color w:val="auto"/>
          <w:sz w:val="32"/>
          <w:szCs w:val="32"/>
        </w:rPr>
        <w:t>二、财政资金收支情况</w:t>
      </w:r>
    </w:p>
    <w:p>
      <w:pPr>
        <w:keepNext w:val="0"/>
        <w:keepLines w:val="0"/>
        <w:pageBreakBefore w:val="0"/>
        <w:kinsoku/>
        <w:wordWrap/>
        <w:overflowPunct/>
        <w:topLinePunct w:val="0"/>
        <w:autoSpaceDE/>
        <w:autoSpaceDN/>
        <w:bidi w:val="0"/>
        <w:adjustRightInd/>
        <w:snapToGrid/>
        <w:spacing w:beforeAutospacing="0" w:afterAutospacing="0" w:line="480" w:lineRule="exact"/>
        <w:ind w:right="0" w:rightChars="0" w:firstLine="643" w:firstLineChars="200"/>
        <w:textAlignment w:val="auto"/>
        <w:outlineLvl w:val="9"/>
        <w:rPr>
          <w:rFonts w:hint="eastAsia" w:ascii="仿宋" w:hAnsi="仿宋" w:eastAsia="仿宋" w:cs="仿宋"/>
          <w:b/>
          <w:bCs/>
          <w:color w:val="auto"/>
          <w:sz w:val="32"/>
          <w:szCs w:val="32"/>
        </w:rPr>
      </w:pPr>
      <w:r>
        <w:rPr>
          <w:rFonts w:hint="eastAsia" w:ascii="仿宋" w:hAnsi="仿宋" w:eastAsia="仿宋" w:cs="仿宋"/>
          <w:b/>
          <w:bCs/>
          <w:color w:val="auto"/>
          <w:sz w:val="32"/>
          <w:szCs w:val="32"/>
        </w:rPr>
        <w:t>（一）</w:t>
      </w:r>
      <w:r>
        <w:rPr>
          <w:rFonts w:hint="eastAsia" w:ascii="仿宋" w:hAnsi="仿宋" w:eastAsia="仿宋" w:cs="仿宋"/>
          <w:b/>
          <w:bCs/>
          <w:color w:val="auto"/>
          <w:sz w:val="32"/>
          <w:szCs w:val="32"/>
          <w:lang w:eastAsia="zh-CN"/>
        </w:rPr>
        <w:t>财政资金收入</w:t>
      </w:r>
      <w:r>
        <w:rPr>
          <w:rFonts w:hint="eastAsia" w:ascii="仿宋" w:hAnsi="仿宋" w:eastAsia="仿宋" w:cs="仿宋"/>
          <w:b/>
          <w:bCs/>
          <w:color w:val="auto"/>
          <w:sz w:val="32"/>
          <w:szCs w:val="32"/>
        </w:rPr>
        <w:t>情况</w:t>
      </w:r>
    </w:p>
    <w:p>
      <w:pPr>
        <w:pStyle w:val="39"/>
        <w:keepNext w:val="0"/>
        <w:keepLines w:val="0"/>
        <w:pageBreakBefore w:val="0"/>
        <w:widowControl w:val="0"/>
        <w:kinsoku/>
        <w:wordWrap/>
        <w:overflowPunct/>
        <w:topLinePunct w:val="0"/>
        <w:autoSpaceDE/>
        <w:autoSpaceDN/>
        <w:bidi w:val="0"/>
        <w:spacing w:before="0" w:line="48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2020年财政资金收入情况：2020年本单位预算总收入4162.99万元，其中：年初结转和结余数756.03万元，占18.16%；本年预算收入3406.96万元，占81.84%。人员经费1860.30元，占总收入的44.69%；日常公用经费733.74元，占总收入的17.62%；项目经费1568.95元，占总收入的37.69%。与2019年相比增加119.95元，增长2.90%，增加的原因是调整了近两年的目标管理基本奖。</w:t>
      </w:r>
    </w:p>
    <w:p>
      <w:pPr>
        <w:keepNext w:val="0"/>
        <w:keepLines w:val="0"/>
        <w:pageBreakBefore w:val="0"/>
        <w:numPr>
          <w:ilvl w:val="0"/>
          <w:numId w:val="4"/>
        </w:numPr>
        <w:kinsoku/>
        <w:wordWrap/>
        <w:overflowPunct/>
        <w:topLinePunct w:val="0"/>
        <w:autoSpaceDE/>
        <w:autoSpaceDN/>
        <w:bidi w:val="0"/>
        <w:adjustRightInd/>
        <w:spacing w:beforeAutospacing="0" w:afterAutospacing="0" w:line="480" w:lineRule="exact"/>
        <w:ind w:firstLine="640" w:firstLineChars="200"/>
        <w:textAlignment w:val="auto"/>
        <w:outlineLvl w:val="9"/>
        <w:rPr>
          <w:rFonts w:hint="eastAsia"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b/>
          <w:bCs/>
          <w:color w:val="auto"/>
          <w:sz w:val="32"/>
          <w:szCs w:val="32"/>
        </w:rPr>
        <w:t>财政资金支出情况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1.总体支出情况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eastAsia="zh-CN" w:bidi="ar-SA"/>
        </w:rPr>
      </w:pPr>
      <w:r>
        <w:rPr>
          <w:rFonts w:hint="eastAsia" w:ascii="仿宋" w:eastAsia="仿宋" w:cs="仿宋"/>
          <w:color w:val="auto"/>
          <w:sz w:val="32"/>
          <w:szCs w:val="32"/>
          <w:shd w:val="solid" w:color="FFFFFF" w:fill="FFFFFF"/>
          <w:lang w:bidi="ar-SA"/>
        </w:rPr>
        <w:t>2020年本</w:t>
      </w:r>
      <w:r>
        <w:rPr>
          <w:rFonts w:hint="eastAsia" w:ascii="仿宋" w:eastAsia="仿宋" w:cs="仿宋"/>
          <w:color w:val="auto"/>
          <w:sz w:val="32"/>
          <w:szCs w:val="32"/>
          <w:shd w:val="solid" w:color="FFFFFF" w:fill="FFFFFF"/>
          <w:lang w:eastAsia="zh-CN" w:bidi="ar-SA"/>
        </w:rPr>
        <w:t>单位预算总收入</w:t>
      </w:r>
      <w:r>
        <w:rPr>
          <w:rFonts w:hint="eastAsia" w:ascii="仿宋" w:hAnsi="仿宋" w:eastAsia="仿宋" w:cs="仿宋"/>
          <w:color w:val="auto"/>
          <w:kern w:val="2"/>
          <w:sz w:val="32"/>
          <w:szCs w:val="32"/>
          <w:lang w:val="en-US" w:eastAsia="zh-CN" w:bidi="ar-SA"/>
        </w:rPr>
        <w:t>4162.99万元</w:t>
      </w:r>
      <w:r>
        <w:rPr>
          <w:rFonts w:hint="eastAsia" w:ascii="仿宋" w:eastAsia="仿宋" w:cs="仿宋"/>
          <w:color w:val="auto"/>
          <w:sz w:val="32"/>
          <w:szCs w:val="32"/>
          <w:shd w:val="solid" w:color="FFFFFF" w:fill="FFFFFF"/>
          <w:lang w:eastAsia="zh-CN" w:bidi="ar-SA"/>
        </w:rPr>
        <w:t>，</w:t>
      </w:r>
      <w:r>
        <w:rPr>
          <w:rFonts w:hint="eastAsia" w:ascii="仿宋" w:eastAsia="仿宋" w:cs="仿宋"/>
          <w:color w:val="auto"/>
          <w:sz w:val="32"/>
          <w:szCs w:val="32"/>
          <w:shd w:val="solid" w:color="FFFFFF" w:fill="FFFFFF"/>
          <w:lang w:bidi="ar-SA"/>
        </w:rPr>
        <w:t>本年</w:t>
      </w:r>
      <w:r>
        <w:rPr>
          <w:rFonts w:hint="eastAsia" w:ascii="仿宋" w:eastAsia="仿宋" w:cs="仿宋"/>
          <w:color w:val="auto"/>
          <w:sz w:val="32"/>
          <w:szCs w:val="32"/>
          <w:shd w:val="solid" w:color="FFFFFF" w:fill="FFFFFF"/>
          <w:lang w:eastAsia="zh-CN" w:bidi="ar-SA"/>
        </w:rPr>
        <w:t>预算</w:t>
      </w:r>
      <w:r>
        <w:rPr>
          <w:rFonts w:hint="eastAsia" w:ascii="仿宋" w:eastAsia="仿宋" w:cs="仿宋"/>
          <w:color w:val="auto"/>
          <w:sz w:val="32"/>
          <w:szCs w:val="32"/>
          <w:shd w:val="solid" w:color="FFFFFF" w:fill="FFFFFF"/>
          <w:lang w:bidi="ar-SA"/>
        </w:rPr>
        <w:t>支出</w:t>
      </w:r>
      <w:r>
        <w:rPr>
          <w:rFonts w:hint="eastAsia" w:ascii="仿宋" w:eastAsia="仿宋" w:cs="仿宋"/>
          <w:color w:val="auto"/>
          <w:sz w:val="32"/>
          <w:szCs w:val="32"/>
          <w:shd w:val="solid" w:color="FFFFFF" w:fill="FFFFFF"/>
          <w:lang w:val="en-US" w:eastAsia="zh-CN" w:bidi="ar-SA"/>
        </w:rPr>
        <w:t>3799.61万</w:t>
      </w:r>
      <w:r>
        <w:rPr>
          <w:rFonts w:hint="eastAsia" w:ascii="仿宋" w:eastAsia="仿宋" w:cs="仿宋"/>
          <w:color w:val="auto"/>
          <w:sz w:val="32"/>
          <w:szCs w:val="32"/>
          <w:shd w:val="solid" w:color="FFFFFF" w:fill="FFFFFF"/>
          <w:lang w:bidi="ar-SA"/>
        </w:rPr>
        <w:t>元</w:t>
      </w:r>
      <w:r>
        <w:rPr>
          <w:rFonts w:hint="eastAsia" w:ascii="仿宋" w:eastAsia="仿宋" w:cs="仿宋"/>
          <w:color w:val="auto"/>
          <w:sz w:val="32"/>
          <w:szCs w:val="32"/>
          <w:shd w:val="solid" w:color="FFFFFF" w:fill="FFFFFF"/>
          <w:lang w:eastAsia="zh-CN" w:bidi="ar-SA"/>
        </w:rPr>
        <w:t>，支出率</w:t>
      </w:r>
      <w:r>
        <w:rPr>
          <w:rFonts w:hint="eastAsia" w:ascii="仿宋" w:eastAsia="仿宋" w:cs="仿宋"/>
          <w:color w:val="auto"/>
          <w:sz w:val="32"/>
          <w:szCs w:val="32"/>
          <w:shd w:val="solid" w:color="FFFFFF" w:fill="FFFFFF"/>
          <w:lang w:val="en-US" w:eastAsia="zh-CN" w:bidi="ar-SA"/>
        </w:rPr>
        <w:t>91.27%</w:t>
      </w:r>
      <w:r>
        <w:rPr>
          <w:rFonts w:hint="eastAsia" w:ascii="仿宋" w:eastAsia="仿宋" w:cs="仿宋"/>
          <w:color w:val="auto"/>
          <w:sz w:val="32"/>
          <w:szCs w:val="32"/>
          <w:shd w:val="solid" w:color="FFFFFF" w:fill="FFFFFF"/>
          <w:lang w:eastAsia="zh-CN" w:bidi="ar-SA"/>
        </w:rPr>
        <w:t>；</w:t>
      </w:r>
      <w:r>
        <w:rPr>
          <w:rFonts w:hint="eastAsia" w:ascii="仿宋" w:eastAsia="仿宋" w:cs="仿宋"/>
          <w:color w:val="auto"/>
          <w:sz w:val="32"/>
          <w:szCs w:val="32"/>
          <w:shd w:val="solid" w:color="FFFFFF" w:fill="FFFFFF"/>
          <w:lang w:bidi="ar-SA"/>
        </w:rPr>
        <w:t>年末结转和结余</w:t>
      </w:r>
      <w:r>
        <w:rPr>
          <w:rFonts w:hint="eastAsia" w:ascii="仿宋" w:eastAsia="仿宋" w:cs="仿宋"/>
          <w:color w:val="auto"/>
          <w:sz w:val="32"/>
          <w:szCs w:val="32"/>
          <w:shd w:val="solid" w:color="FFFFFF" w:fill="FFFFFF"/>
          <w:lang w:val="en-US" w:eastAsia="zh-CN" w:bidi="ar-SA"/>
        </w:rPr>
        <w:t>363.38万</w:t>
      </w:r>
      <w:r>
        <w:rPr>
          <w:rFonts w:hint="eastAsia" w:ascii="仿宋" w:eastAsia="仿宋" w:cs="仿宋"/>
          <w:color w:val="auto"/>
          <w:sz w:val="32"/>
          <w:szCs w:val="32"/>
          <w:shd w:val="solid" w:color="FFFFFF" w:fill="FFFFFF"/>
          <w:lang w:bidi="ar-SA"/>
        </w:rPr>
        <w:t>元</w:t>
      </w:r>
      <w:r>
        <w:rPr>
          <w:rFonts w:hint="eastAsia" w:ascii="仿宋" w:eastAsia="仿宋" w:cs="仿宋"/>
          <w:color w:val="auto"/>
          <w:sz w:val="32"/>
          <w:szCs w:val="32"/>
          <w:shd w:val="solid" w:color="FFFFFF" w:fill="FFFFFF"/>
          <w:lang w:eastAsia="zh-CN" w:bidi="ar-SA"/>
        </w:rPr>
        <w:t>，结转率</w:t>
      </w:r>
      <w:r>
        <w:rPr>
          <w:rFonts w:hint="eastAsia" w:ascii="仿宋" w:eastAsia="仿宋" w:cs="仿宋"/>
          <w:color w:val="auto"/>
          <w:sz w:val="32"/>
          <w:szCs w:val="32"/>
          <w:shd w:val="solid" w:color="FFFFFF" w:fill="FFFFFF"/>
          <w:lang w:val="en-US" w:eastAsia="zh-CN" w:bidi="ar-SA"/>
        </w:rPr>
        <w:t>8.73%</w:t>
      </w:r>
      <w:r>
        <w:rPr>
          <w:rFonts w:hint="eastAsia" w:ascii="仿宋" w:eastAsia="仿宋" w:cs="仿宋"/>
          <w:color w:val="auto"/>
          <w:sz w:val="32"/>
          <w:szCs w:val="32"/>
          <w:shd w:val="solid" w:color="FFFFFF" w:fill="FFFFFF"/>
          <w:lang w:eastAsia="zh-CN" w:bidi="ar-SA"/>
        </w:rPr>
        <w:t>。</w:t>
      </w:r>
      <w:r>
        <w:rPr>
          <w:rFonts w:hint="eastAsia" w:ascii="仿宋" w:eastAsia="仿宋" w:cs="仿宋"/>
          <w:color w:val="auto"/>
          <w:sz w:val="32"/>
          <w:szCs w:val="32"/>
          <w:shd w:val="solid" w:color="FFFFFF" w:fill="FFFFFF"/>
          <w:lang w:bidi="ar-SA"/>
        </w:rPr>
        <w:t>其中：</w:t>
      </w:r>
      <w:r>
        <w:rPr>
          <w:rFonts w:hint="eastAsia" w:ascii="仿宋" w:eastAsia="仿宋" w:cs="仿宋"/>
          <w:color w:val="auto"/>
          <w:sz w:val="32"/>
          <w:szCs w:val="32"/>
          <w:shd w:val="solid" w:color="FFFFFF" w:fill="FFFFFF"/>
          <w:lang w:eastAsia="zh-CN" w:bidi="ar-SA"/>
        </w:rPr>
        <w:t>人员经费支出</w:t>
      </w:r>
      <w:r>
        <w:rPr>
          <w:rFonts w:hint="eastAsia" w:ascii="仿宋" w:eastAsia="仿宋" w:cs="仿宋"/>
          <w:color w:val="auto"/>
          <w:sz w:val="32"/>
          <w:szCs w:val="32"/>
          <w:shd w:val="solid" w:color="FFFFFF" w:fill="FFFFFF"/>
          <w:lang w:val="en-US" w:eastAsia="zh-CN" w:bidi="ar-SA"/>
        </w:rPr>
        <w:t>1860.30</w:t>
      </w:r>
      <w:r>
        <w:rPr>
          <w:rFonts w:hint="eastAsia" w:ascii="仿宋" w:eastAsia="仿宋" w:cs="仿宋"/>
          <w:color w:val="auto"/>
          <w:sz w:val="32"/>
          <w:szCs w:val="32"/>
          <w:shd w:val="solid" w:color="FFFFFF" w:fill="FFFFFF"/>
          <w:lang w:bidi="ar-SA"/>
        </w:rPr>
        <w:t>元，</w:t>
      </w:r>
      <w:r>
        <w:rPr>
          <w:rFonts w:hint="eastAsia" w:ascii="仿宋" w:eastAsia="仿宋" w:cs="仿宋"/>
          <w:color w:val="auto"/>
          <w:sz w:val="32"/>
          <w:szCs w:val="32"/>
          <w:shd w:val="solid" w:color="FFFFFF" w:fill="FFFFFF"/>
          <w:lang w:eastAsia="zh-CN" w:bidi="ar-SA"/>
        </w:rPr>
        <w:t>占总支出的</w:t>
      </w:r>
      <w:r>
        <w:rPr>
          <w:rFonts w:hint="eastAsia" w:ascii="仿宋" w:eastAsia="仿宋" w:cs="仿宋"/>
          <w:color w:val="auto"/>
          <w:sz w:val="32"/>
          <w:szCs w:val="32"/>
          <w:shd w:val="solid" w:color="FFFFFF" w:fill="FFFFFF"/>
          <w:lang w:val="en-US" w:eastAsia="zh-CN" w:bidi="ar-SA"/>
        </w:rPr>
        <w:t>48.96</w:t>
      </w:r>
      <w:r>
        <w:rPr>
          <w:rFonts w:hint="eastAsia" w:ascii="仿宋" w:eastAsia="仿宋" w:cs="仿宋"/>
          <w:color w:val="auto"/>
          <w:sz w:val="32"/>
          <w:szCs w:val="32"/>
          <w:shd w:val="solid" w:color="FFFFFF" w:fill="FFFFFF"/>
          <w:lang w:bidi="ar-SA"/>
        </w:rPr>
        <w:t>%；</w:t>
      </w:r>
      <w:r>
        <w:rPr>
          <w:rFonts w:hint="eastAsia" w:ascii="仿宋" w:eastAsia="仿宋" w:cs="仿宋"/>
          <w:color w:val="auto"/>
          <w:sz w:val="32"/>
          <w:szCs w:val="32"/>
          <w:shd w:val="solid" w:color="FFFFFF" w:fill="FFFFFF"/>
          <w:lang w:eastAsia="zh-CN" w:bidi="ar-SA"/>
        </w:rPr>
        <w:t>日常公用经费支出</w:t>
      </w:r>
      <w:r>
        <w:rPr>
          <w:rFonts w:hint="eastAsia" w:ascii="仿宋" w:eastAsia="仿宋" w:cs="仿宋"/>
          <w:color w:val="auto"/>
          <w:sz w:val="32"/>
          <w:szCs w:val="32"/>
          <w:shd w:val="solid" w:color="FFFFFF" w:fill="FFFFFF"/>
          <w:lang w:val="en-US" w:eastAsia="zh-CN" w:bidi="ar-SA"/>
        </w:rPr>
        <w:t>733.74</w:t>
      </w:r>
      <w:r>
        <w:rPr>
          <w:rFonts w:hint="eastAsia" w:ascii="仿宋" w:eastAsia="仿宋" w:cs="仿宋"/>
          <w:color w:val="auto"/>
          <w:sz w:val="32"/>
          <w:szCs w:val="32"/>
          <w:shd w:val="solid" w:color="FFFFFF" w:fill="FFFFFF"/>
          <w:lang w:bidi="ar-SA"/>
        </w:rPr>
        <w:t>万元，</w:t>
      </w:r>
      <w:r>
        <w:rPr>
          <w:rFonts w:hint="eastAsia" w:ascii="仿宋" w:eastAsia="仿宋" w:cs="仿宋"/>
          <w:color w:val="auto"/>
          <w:sz w:val="32"/>
          <w:szCs w:val="32"/>
          <w:shd w:val="solid" w:color="FFFFFF" w:fill="FFFFFF"/>
          <w:lang w:eastAsia="zh-CN" w:bidi="ar-SA"/>
        </w:rPr>
        <w:t>占总支出的</w:t>
      </w:r>
      <w:r>
        <w:rPr>
          <w:rFonts w:hint="eastAsia" w:ascii="仿宋" w:eastAsia="仿宋" w:cs="仿宋"/>
          <w:color w:val="auto"/>
          <w:sz w:val="32"/>
          <w:szCs w:val="32"/>
          <w:shd w:val="solid" w:color="FFFFFF" w:fill="FFFFFF"/>
          <w:lang w:val="en-US" w:eastAsia="zh-CN" w:bidi="ar-SA"/>
        </w:rPr>
        <w:t>19.31</w:t>
      </w:r>
      <w:r>
        <w:rPr>
          <w:rFonts w:hint="eastAsia" w:ascii="仿宋" w:eastAsia="仿宋" w:cs="仿宋"/>
          <w:color w:val="auto"/>
          <w:sz w:val="32"/>
          <w:szCs w:val="32"/>
          <w:shd w:val="solid" w:color="FFFFFF" w:fill="FFFFFF"/>
          <w:lang w:bidi="ar-SA"/>
        </w:rPr>
        <w:t>%</w:t>
      </w:r>
      <w:r>
        <w:rPr>
          <w:rFonts w:hint="eastAsia" w:ascii="仿宋" w:eastAsia="仿宋" w:cs="仿宋"/>
          <w:color w:val="auto"/>
          <w:sz w:val="32"/>
          <w:szCs w:val="32"/>
          <w:shd w:val="solid" w:color="FFFFFF" w:fill="FFFFFF"/>
          <w:lang w:eastAsia="zh-CN" w:bidi="ar-SA"/>
        </w:rPr>
        <w:t>，项目支出</w:t>
      </w:r>
      <w:r>
        <w:rPr>
          <w:rFonts w:hint="eastAsia" w:ascii="仿宋" w:eastAsia="仿宋" w:cs="仿宋"/>
          <w:color w:val="auto"/>
          <w:sz w:val="32"/>
          <w:szCs w:val="32"/>
          <w:shd w:val="solid" w:color="FFFFFF" w:fill="FFFFFF"/>
          <w:lang w:val="en-US" w:eastAsia="zh-CN" w:bidi="ar-SA"/>
        </w:rPr>
        <w:t>1205.57万元，占总支出的31.73%</w:t>
      </w:r>
      <w:r>
        <w:rPr>
          <w:rFonts w:hint="eastAsia" w:ascii="仿宋" w:eastAsia="仿宋" w:cs="仿宋"/>
          <w:color w:val="auto"/>
          <w:sz w:val="32"/>
          <w:szCs w:val="32"/>
          <w:shd w:val="solid" w:color="FFFFFF" w:fill="FFFFFF"/>
          <w:lang w:eastAsia="zh-CN" w:bidi="ar-SA"/>
        </w:rPr>
        <w:t>。</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2.基本支出情况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本单位2020年基本支出2594.04万元，主要是人员经费与公用经费。其中：</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宋体" w:hAnsi="宋体" w:eastAsia="宋体" w:cs="宋体"/>
          <w:color w:val="auto"/>
          <w:sz w:val="32"/>
          <w:szCs w:val="32"/>
          <w:shd w:val="solid" w:color="FFFFFF" w:fill="FFFFFF"/>
          <w:lang w:val="en-US" w:eastAsia="zh-CN" w:bidi="ar-SA"/>
        </w:rPr>
        <w:t>⑴</w:t>
      </w:r>
      <w:r>
        <w:rPr>
          <w:rFonts w:hint="eastAsia" w:ascii="仿宋" w:eastAsia="仿宋" w:cs="仿宋"/>
          <w:color w:val="auto"/>
          <w:sz w:val="32"/>
          <w:szCs w:val="32"/>
          <w:shd w:val="solid" w:color="FFFFFF" w:fill="FFFFFF"/>
          <w:lang w:val="en-US" w:eastAsia="zh-CN" w:bidi="ar-SA"/>
        </w:rPr>
        <w:t>人员经费1860.30万元，主要包括：基本工资、津贴补贴、奖金、绩效工资、伙食补助费、机关事业单位基本养老保险费、职业年金缴费、职工基本医疗保险缴费、其他社会保障缴费、住房公积金、其他工资福利支出、其他个人和家庭的补助支出等。</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宋体" w:hAnsi="宋体" w:eastAsia="宋体" w:cs="宋体"/>
          <w:color w:val="auto"/>
          <w:sz w:val="32"/>
          <w:szCs w:val="32"/>
          <w:shd w:val="solid" w:color="FFFFFF" w:fill="FFFFFF"/>
          <w:lang w:val="en-US" w:eastAsia="zh-CN" w:bidi="ar-SA"/>
        </w:rPr>
        <w:t>⑵</w:t>
      </w:r>
      <w:r>
        <w:rPr>
          <w:rFonts w:hint="eastAsia" w:ascii="仿宋" w:eastAsia="仿宋" w:cs="仿宋"/>
          <w:color w:val="auto"/>
          <w:sz w:val="32"/>
          <w:szCs w:val="32"/>
          <w:shd w:val="solid" w:color="FFFFFF" w:fill="FFFFFF"/>
          <w:lang w:val="en-US" w:eastAsia="zh-CN" w:bidi="ar-SA"/>
        </w:rPr>
        <w:t>公用经费733.74万元，主要包括办公费、印刷费、水费、电费、邮电费、差旅费、维修（护）费、会议费、培训费、劳务费、福利费、其他交通费、税金及附加费用、其他商品和服务支出等。</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3.项目支出情况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2020年本单位项目支出1205.57元，主要是：旅游宣传费319.94万元，罗毕牧场河道生态治理项目104.07万元，标识标牌建设项目39.40万元，旅游应急救援中心21.03万元，2018年应急项目41.91万元，景区上下车维修点项目16.76万元，创建国家级生态旅游示范区19.92万元，数字化指挥平台租赁费125.5万元，职工生活阳台塑钢玻璃安装23.46万元，偿还政府性债务100万元，卫生厕所建设20.16万元，9.13泥石流抢险修复工程247.34万元，国家地质公园建设项目90.26万元。</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4.年末结转和结余情况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default" w:asciiTheme="minorEastAsia" w:hAnsiTheme="minorEastAsia" w:eastAsiaTheme="minorEastAsia" w:cstheme="minorEastAsia"/>
          <w:color w:val="auto"/>
          <w:sz w:val="32"/>
          <w:szCs w:val="32"/>
          <w:lang w:val="en-US" w:eastAsia="zh-CN"/>
        </w:rPr>
      </w:pPr>
      <w:r>
        <w:rPr>
          <w:rFonts w:hint="eastAsia" w:ascii="仿宋" w:eastAsia="仿宋" w:cs="仿宋"/>
          <w:color w:val="auto"/>
          <w:sz w:val="32"/>
          <w:szCs w:val="32"/>
          <w:shd w:val="solid" w:color="FFFFFF" w:fill="FFFFFF"/>
          <w:lang w:val="en-US" w:eastAsia="zh-CN" w:bidi="ar-SA"/>
        </w:rPr>
        <w:t>2020年本单位结转资金为363.38万元，其中：景区国家级生态旅游示范区创建项目60.08万元，达古冰川国家地质公园建设项目303.303万元。结转原因为这两个项目为两年期建设项目。</w:t>
      </w:r>
    </w:p>
    <w:p>
      <w:pPr>
        <w:keepNext w:val="0"/>
        <w:keepLines w:val="0"/>
        <w:pageBreakBefore w:val="0"/>
        <w:numPr>
          <w:ilvl w:val="0"/>
          <w:numId w:val="0"/>
        </w:numPr>
        <w:kinsoku/>
        <w:wordWrap/>
        <w:overflowPunct/>
        <w:topLinePunct w:val="0"/>
        <w:autoSpaceDE/>
        <w:autoSpaceDN/>
        <w:bidi w:val="0"/>
        <w:adjustRightInd/>
        <w:spacing w:beforeAutospacing="0" w:afterAutospacing="0" w:line="480" w:lineRule="exact"/>
        <w:ind w:firstLine="643" w:firstLineChars="200"/>
        <w:textAlignment w:val="auto"/>
        <w:outlineLvl w:val="9"/>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三、部门整体预算绩效管理情况</w:t>
      </w:r>
    </w:p>
    <w:p>
      <w:pPr>
        <w:keepNext w:val="0"/>
        <w:keepLines w:val="0"/>
        <w:pageBreakBefore w:val="0"/>
        <w:numPr>
          <w:ilvl w:val="0"/>
          <w:numId w:val="0"/>
        </w:numPr>
        <w:kinsoku/>
        <w:wordWrap/>
        <w:overflowPunct/>
        <w:topLinePunct w:val="0"/>
        <w:autoSpaceDE/>
        <w:autoSpaceDN/>
        <w:bidi w:val="0"/>
        <w:adjustRightInd/>
        <w:spacing w:beforeAutospacing="0" w:afterAutospacing="0" w:line="480" w:lineRule="exact"/>
        <w:ind w:firstLine="643" w:firstLineChars="200"/>
        <w:jc w:val="left"/>
        <w:textAlignment w:val="auto"/>
        <w:outlineLvl w:val="9"/>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（一）部门预算管理情况</w:t>
      </w:r>
    </w:p>
    <w:p>
      <w:pPr>
        <w:pageBreakBefore w:val="0"/>
        <w:kinsoku/>
        <w:wordWrap/>
        <w:overflowPunct/>
        <w:topLinePunct w:val="0"/>
        <w:bidi w:val="0"/>
        <w:spacing w:line="480" w:lineRule="exact"/>
        <w:ind w:firstLine="643" w:firstLineChars="200"/>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1.绩效目标完成情况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2020年,达古冰川管理局紧紧围绕“一州两区三家园”战略目标，认真践行“冰川雪山也是金山银山”的发展理念，以“聚人气、创品牌，精服务、强管理，抓创建、塑形象”的工作思路，致力于擦亮“大冰川”品牌，通过深层次开发旅游产品，高标准打造旅游品牌，强力度进行旅游推介，多方位营造旅游环境，全力打造冰川彩林国际旅游目的地，并超额完成各项年度目标任务。</w:t>
      </w:r>
    </w:p>
    <w:p>
      <w:pPr>
        <w:pageBreakBefore w:val="0"/>
        <w:kinsoku/>
        <w:wordWrap/>
        <w:overflowPunct/>
        <w:topLinePunct w:val="0"/>
        <w:bidi w:val="0"/>
        <w:spacing w:line="480" w:lineRule="exact"/>
        <w:ind w:firstLine="643" w:firstLineChars="200"/>
        <w:rPr>
          <w:rFonts w:hint="eastAsia" w:ascii="仿宋" w:eastAsia="仿宋" w:cs="仿宋"/>
          <w:color w:val="auto"/>
          <w:sz w:val="32"/>
          <w:szCs w:val="32"/>
          <w:shd w:val="solid" w:color="FFFFFF" w:fill="FFFFFF"/>
          <w:lang w:val="en-US" w:eastAsia="zh-CN" w:bidi="ar-SA"/>
        </w:rPr>
      </w:pPr>
      <w:r>
        <w:rPr>
          <w:rFonts w:hint="eastAsia" w:ascii="宋体" w:hAnsi="宋体" w:eastAsia="宋体" w:cs="宋体"/>
          <w:b/>
          <w:color w:val="auto"/>
          <w:sz w:val="32"/>
          <w:szCs w:val="32"/>
        </w:rPr>
        <w:t>⑴</w:t>
      </w:r>
      <w:r>
        <w:rPr>
          <w:rFonts w:hint="eastAsia" w:ascii="楷体_GB2312" w:eastAsia="楷体_GB2312"/>
          <w:b/>
          <w:color w:val="auto"/>
          <w:sz w:val="32"/>
          <w:szCs w:val="32"/>
        </w:rPr>
        <w:t>旅游人次接待情况</w:t>
      </w:r>
      <w:r>
        <w:rPr>
          <w:rFonts w:hint="eastAsia" w:ascii="楷体_GB2312" w:eastAsia="楷体_GB2312"/>
          <w:b/>
          <w:color w:val="auto"/>
          <w:sz w:val="32"/>
          <w:szCs w:val="32"/>
          <w:lang w:eastAsia="zh-CN"/>
        </w:rPr>
        <w:t>：</w:t>
      </w:r>
      <w:r>
        <w:rPr>
          <w:rFonts w:hint="eastAsia" w:ascii="仿宋" w:eastAsia="仿宋" w:cs="仿宋"/>
          <w:color w:val="auto"/>
          <w:sz w:val="32"/>
          <w:szCs w:val="32"/>
          <w:shd w:val="solid" w:color="FFFFFF" w:fill="FFFFFF"/>
          <w:lang w:val="en-US" w:eastAsia="zh-CN" w:bidi="ar-SA"/>
        </w:rPr>
        <w:t>2020年,达古冰川景区共接待游客22.07万人次，同比增长46.65%，完成年度目标任务的200.64%；实现景区直接收入6151.57万元，同比增长63.61%，其中门票收入1270.31万元，同比增长80.18%，完成年度目标任务的244.29%。</w:t>
      </w:r>
    </w:p>
    <w:p>
      <w:pPr>
        <w:pageBreakBefore w:val="0"/>
        <w:kinsoku/>
        <w:wordWrap/>
        <w:overflowPunct/>
        <w:topLinePunct w:val="0"/>
        <w:bidi w:val="0"/>
        <w:spacing w:line="480" w:lineRule="exact"/>
        <w:ind w:firstLine="643" w:firstLineChars="200"/>
        <w:rPr>
          <w:rFonts w:hint="eastAsia" w:ascii="仿宋" w:eastAsia="仿宋" w:cs="仿宋"/>
          <w:color w:val="auto"/>
          <w:sz w:val="32"/>
          <w:szCs w:val="32"/>
          <w:shd w:val="solid" w:color="FFFFFF" w:fill="FFFFFF"/>
          <w:lang w:val="en-US" w:eastAsia="zh-CN" w:bidi="ar-SA"/>
        </w:rPr>
      </w:pPr>
      <w:r>
        <w:rPr>
          <w:rFonts w:hint="eastAsia" w:ascii="宋体" w:hAnsi="宋体" w:eastAsia="宋体" w:cs="宋体"/>
          <w:b/>
          <w:color w:val="auto"/>
          <w:sz w:val="32"/>
          <w:szCs w:val="32"/>
        </w:rPr>
        <w:t>⑵</w:t>
      </w:r>
      <w:r>
        <w:rPr>
          <w:rFonts w:hint="eastAsia" w:ascii="楷体_GB2312" w:eastAsia="楷体_GB2312"/>
          <w:b/>
          <w:color w:val="auto"/>
          <w:sz w:val="32"/>
          <w:szCs w:val="32"/>
        </w:rPr>
        <w:t>完成上缴情况</w:t>
      </w:r>
      <w:r>
        <w:rPr>
          <w:rFonts w:hint="eastAsia" w:ascii="楷体_GB2312" w:eastAsia="楷体_GB2312"/>
          <w:b/>
          <w:color w:val="auto"/>
          <w:sz w:val="32"/>
          <w:szCs w:val="32"/>
          <w:lang w:eastAsia="zh-CN"/>
        </w:rPr>
        <w:t>：</w:t>
      </w:r>
      <w:r>
        <w:rPr>
          <w:rFonts w:hint="eastAsia" w:ascii="仿宋" w:eastAsia="仿宋" w:cs="仿宋"/>
          <w:color w:val="auto"/>
          <w:sz w:val="32"/>
          <w:szCs w:val="32"/>
          <w:shd w:val="solid" w:color="FFFFFF" w:fill="FFFFFF"/>
          <w:lang w:val="en-US" w:eastAsia="zh-CN" w:bidi="ar-SA"/>
        </w:rPr>
        <w:t>2020年，管理局严格执行《阿坝州财政局关于实行收支两条线管理相关事项的通知》要求，于每月及时将上月门票收入上缴州财政局，全年上缴门票收入1236.62万元，完成上缴任务的237.81%。</w:t>
      </w:r>
    </w:p>
    <w:p>
      <w:pPr>
        <w:keepNext w:val="0"/>
        <w:keepLines w:val="0"/>
        <w:pageBreakBefore w:val="0"/>
        <w:numPr>
          <w:ilvl w:val="0"/>
          <w:numId w:val="0"/>
        </w:numPr>
        <w:kinsoku/>
        <w:wordWrap/>
        <w:overflowPunct/>
        <w:topLinePunct w:val="0"/>
        <w:autoSpaceDE/>
        <w:autoSpaceDN/>
        <w:bidi w:val="0"/>
        <w:adjustRightInd/>
        <w:spacing w:beforeAutospacing="0" w:afterAutospacing="0" w:line="480" w:lineRule="exact"/>
        <w:ind w:firstLine="643" w:firstLineChars="200"/>
        <w:jc w:val="left"/>
        <w:textAlignment w:val="auto"/>
        <w:outlineLvl w:val="9"/>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2.</w:t>
      </w:r>
      <w:r>
        <w:rPr>
          <w:rFonts w:hint="eastAsia" w:ascii="仿宋" w:hAnsi="仿宋" w:eastAsia="仿宋" w:cs="仿宋"/>
          <w:b/>
          <w:bCs/>
          <w:color w:val="auto"/>
          <w:sz w:val="32"/>
          <w:szCs w:val="32"/>
        </w:rPr>
        <w:t>预算编制情况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2020年本单位本着全面预算、国库集中支付、收支两条线管理的要求和对预算管理工作重要性的认识，紧紧围绕管理局中心工作，以“以收定支、量入为出、保证重点、兼顾一般”的原则，完成了年度预算的编制工作，确保了我局各项工作的顺利开展。</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2020年本单位安排预算资金3163.03万元，比2019年增加66.44万元，增加2.15%。包括：文化旅游体育与传媒支出2740.64万元，占86.65%；社会保障和就业支出206.29万元，占6.52%；医疗卫生与计划生育支出67.14万元，占2.12%；住房保障支出148.96万元，占4.71%。增加的原因是增加和补发目标管理基本奖。</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本单位2020年无因公出国（境）经费；公务接待费65.96万元，比上年减少0.81万元，下降1.21%；公务用车购置及运行维护费122.4万元，比上年减少11.6万元，下降10%。</w:t>
      </w:r>
    </w:p>
    <w:p>
      <w:pPr>
        <w:keepNext w:val="0"/>
        <w:keepLines w:val="0"/>
        <w:pageBreakBefore w:val="0"/>
        <w:numPr>
          <w:ilvl w:val="0"/>
          <w:numId w:val="0"/>
        </w:numPr>
        <w:kinsoku/>
        <w:wordWrap/>
        <w:overflowPunct/>
        <w:topLinePunct w:val="0"/>
        <w:autoSpaceDE/>
        <w:autoSpaceDN/>
        <w:bidi w:val="0"/>
        <w:adjustRightInd/>
        <w:spacing w:beforeAutospacing="0" w:afterAutospacing="0" w:line="480" w:lineRule="exact"/>
        <w:ind w:firstLine="643" w:firstLineChars="200"/>
        <w:textAlignment w:val="auto"/>
        <w:outlineLvl w:val="9"/>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3.</w:t>
      </w:r>
      <w:r>
        <w:rPr>
          <w:rFonts w:hint="eastAsia" w:ascii="仿宋" w:hAnsi="仿宋" w:eastAsia="仿宋" w:cs="仿宋"/>
          <w:b/>
          <w:bCs/>
          <w:color w:val="auto"/>
          <w:sz w:val="32"/>
          <w:szCs w:val="32"/>
          <w:lang w:eastAsia="zh-CN"/>
        </w:rPr>
        <w:t>预算</w:t>
      </w:r>
      <w:r>
        <w:rPr>
          <w:rFonts w:hint="eastAsia" w:ascii="仿宋" w:hAnsi="仿宋" w:eastAsia="仿宋" w:cs="仿宋"/>
          <w:b/>
          <w:bCs/>
          <w:color w:val="auto"/>
          <w:sz w:val="32"/>
          <w:szCs w:val="32"/>
        </w:rPr>
        <w:t>执行管理情况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基于全面预算、国库集中支付、收支两条线管理的要求和对预算管理工作重要性的认识，我局根据年初下达的收支预算总额及预算编制的具体项目、科目统筹安排好全局各项工作，重点保证了工资发放和管理局的日常工作运转。在日常的财务管理中，充分发挥预算的目标作用，积极控制各项费用的支出，精打细算，厉行节约，努力提高资金使用效率。</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3" w:firstLineChars="200"/>
        <w:textAlignment w:val="auto"/>
        <w:rPr>
          <w:rFonts w:hint="eastAsia" w:ascii="仿宋" w:eastAsia="仿宋" w:cs="仿宋"/>
          <w:b/>
          <w:bCs/>
          <w:color w:val="auto"/>
          <w:sz w:val="32"/>
          <w:szCs w:val="32"/>
          <w:shd w:val="solid" w:color="FFFFFF" w:fill="FFFFFF"/>
          <w:lang w:val="en-US" w:eastAsia="zh-CN" w:bidi="ar-SA"/>
        </w:rPr>
      </w:pPr>
      <w:r>
        <w:rPr>
          <w:rFonts w:hint="eastAsia" w:ascii="宋体" w:hAnsi="宋体" w:eastAsia="宋体" w:cs="宋体"/>
          <w:b/>
          <w:bCs/>
          <w:color w:val="auto"/>
          <w:sz w:val="32"/>
          <w:szCs w:val="32"/>
          <w:shd w:val="solid" w:color="FFFFFF" w:fill="FFFFFF"/>
          <w:lang w:val="en-US" w:eastAsia="zh-CN" w:bidi="ar-SA"/>
        </w:rPr>
        <w:t>⑴</w:t>
      </w:r>
      <w:r>
        <w:rPr>
          <w:rFonts w:hint="eastAsia" w:ascii="仿宋" w:eastAsia="仿宋" w:cs="仿宋"/>
          <w:b/>
          <w:bCs/>
          <w:color w:val="auto"/>
          <w:sz w:val="32"/>
          <w:szCs w:val="32"/>
          <w:shd w:val="solid" w:color="FFFFFF" w:fill="FFFFFF"/>
          <w:lang w:val="en-US" w:eastAsia="zh-CN" w:bidi="ar-SA"/>
        </w:rPr>
        <w:t>预算执行进度情况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hAnsi="仿宋" w:eastAsia="仿宋" w:cs="仿宋"/>
          <w:color w:val="auto"/>
          <w:sz w:val="32"/>
          <w:szCs w:val="32"/>
          <w:shd w:val="solid" w:color="FFFFFF" w:fill="FFFFFF"/>
          <w:lang w:val="en-US" w:eastAsia="zh-CN" w:bidi="ar-SA"/>
        </w:rPr>
        <w:t>①2020年预算执行进度情况：</w:t>
      </w:r>
      <w:r>
        <w:rPr>
          <w:rFonts w:hint="eastAsia" w:ascii="仿宋" w:eastAsia="仿宋" w:cs="仿宋"/>
          <w:color w:val="auto"/>
          <w:sz w:val="32"/>
          <w:szCs w:val="32"/>
          <w:shd w:val="solid" w:color="FFFFFF" w:fill="FFFFFF"/>
          <w:lang w:val="en-US" w:eastAsia="zh-CN" w:bidi="ar-SA"/>
        </w:rPr>
        <w:t>2020年本单位截止6月底支出1152.78万元，完成年度预算的31.52%；截止9月底支出2104.38万元，完成年度预算的53.29%；截止11月底支出2744.74万元，完成年度预算支出的66.01%；截止12月底全年支出合计3799.61万元，完成年度总预算的91.27%，年末结转和结余363.38万元，结转率8.73%。其中：人员经费支出1860.30万元，占48.96%；日常公用经费支出733.74万元，占19.31%，项目支出1205.57万元，占31.73%。</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default" w:ascii="Calibri" w:hAnsi="Calibri" w:eastAsia="仿宋" w:cs="Calibri"/>
          <w:color w:val="auto"/>
          <w:sz w:val="32"/>
          <w:szCs w:val="32"/>
          <w:shd w:val="solid" w:color="FFFFFF" w:fill="FFFFFF"/>
          <w:lang w:val="en-US" w:eastAsia="zh-CN" w:bidi="ar-SA"/>
        </w:rPr>
        <w:t>②</w:t>
      </w:r>
      <w:r>
        <w:rPr>
          <w:rFonts w:hint="eastAsia" w:ascii="仿宋" w:hAnsi="仿宋" w:eastAsia="仿宋" w:cs="仿宋"/>
          <w:color w:val="auto"/>
          <w:sz w:val="32"/>
          <w:szCs w:val="32"/>
          <w:shd w:val="solid" w:color="FFFFFF" w:fill="FFFFFF"/>
          <w:lang w:val="en-US" w:eastAsia="zh-CN" w:bidi="ar-SA"/>
        </w:rPr>
        <w:t>2</w:t>
      </w:r>
      <w:r>
        <w:rPr>
          <w:rFonts w:hint="eastAsia" w:ascii="仿宋" w:eastAsia="仿宋" w:cs="仿宋"/>
          <w:color w:val="auto"/>
          <w:sz w:val="32"/>
          <w:szCs w:val="32"/>
          <w:shd w:val="solid" w:color="FFFFFF" w:fill="FFFFFF"/>
          <w:lang w:val="en-US" w:eastAsia="zh-CN" w:bidi="ar-SA"/>
        </w:rPr>
        <w:t>020年1-11月预算执行进度偏低的原因：一是因退休和人员调动等原因造成人员经费支出率偏低；二是因受疫情影响，景区宣传促销工作主要在9月启动，因此造成前期执行进度偏低；三是因达古冰川国家地质公园建设项目和生态旅游示范区创建项目建设期长，在2020年主要开展方案设计、环评等项目前期工作，造成当年的预算执行情况不够理想。资金经财政局批准同意结转下年继续使用。</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3" w:firstLineChars="200"/>
        <w:textAlignment w:val="auto"/>
        <w:rPr>
          <w:rFonts w:hint="eastAsia" w:ascii="仿宋" w:eastAsia="仿宋" w:cs="仿宋"/>
          <w:b/>
          <w:bCs/>
          <w:color w:val="auto"/>
          <w:sz w:val="32"/>
          <w:szCs w:val="32"/>
          <w:shd w:val="solid" w:color="FFFFFF" w:fill="FFFFFF"/>
          <w:lang w:val="en-US" w:eastAsia="zh-CN" w:bidi="ar-SA"/>
        </w:rPr>
      </w:pPr>
      <w:r>
        <w:rPr>
          <w:rFonts w:hint="eastAsia" w:ascii="宋体" w:hAnsi="宋体" w:eastAsia="宋体" w:cs="宋体"/>
          <w:b/>
          <w:bCs/>
          <w:color w:val="auto"/>
          <w:sz w:val="32"/>
          <w:szCs w:val="32"/>
          <w:shd w:val="solid" w:color="FFFFFF" w:fill="FFFFFF"/>
          <w:lang w:val="en-US" w:eastAsia="zh-CN" w:bidi="ar-SA"/>
        </w:rPr>
        <w:t>⑵</w:t>
      </w:r>
      <w:r>
        <w:rPr>
          <w:rFonts w:hint="eastAsia" w:ascii="仿宋" w:eastAsia="仿宋" w:cs="仿宋"/>
          <w:b/>
          <w:bCs/>
          <w:color w:val="auto"/>
          <w:sz w:val="32"/>
          <w:szCs w:val="32"/>
          <w:shd w:val="solid" w:color="FFFFFF" w:fill="FFFFFF"/>
          <w:lang w:val="en-US" w:eastAsia="zh-CN" w:bidi="ar-SA"/>
        </w:rPr>
        <w:t>“三公经费”预算执行管理情况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2020年，本单位“三公”经费支出195.38万元，其中：公务用车购置及运行维护费支出154.23万元，公务接待费41.15万元。</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hAnsi="仿宋" w:eastAsia="仿宋" w:cs="仿宋"/>
          <w:color w:val="auto"/>
          <w:sz w:val="32"/>
          <w:szCs w:val="32"/>
          <w:shd w:val="solid" w:color="FFFFFF" w:fill="FFFFFF"/>
          <w:lang w:val="en-US" w:eastAsia="zh-CN" w:bidi="ar-SA"/>
        </w:rPr>
        <w:t>①</w:t>
      </w:r>
      <w:r>
        <w:rPr>
          <w:rFonts w:hint="eastAsia" w:ascii="仿宋" w:eastAsia="仿宋" w:cs="仿宋"/>
          <w:color w:val="auto"/>
          <w:sz w:val="32"/>
          <w:szCs w:val="32"/>
          <w:shd w:val="solid" w:color="FFFFFF" w:fill="FFFFFF"/>
          <w:lang w:val="en-US" w:eastAsia="zh-CN" w:bidi="ar-SA"/>
        </w:rPr>
        <w:t>公务用车购置及运行维护费：其中运行维护费年初预算122.4万元，较上年下降10%。本年支出154.23万元，较上年增加66.22万元，增长75.24%。其中：运行维护费支出93.62万元，较上年增加5.61万元，增长6.37%；公务用车购置费支出60.61万元。支出增长的主要原因是本单位根据阿车改管办【2020】82号文件，更新1辆排气量3.5升以下，价格60万元以内的国产越野性公务用车。</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default" w:ascii="仿宋" w:eastAsia="仿宋" w:cs="仿宋"/>
          <w:color w:val="auto"/>
          <w:sz w:val="32"/>
          <w:szCs w:val="32"/>
          <w:shd w:val="solid" w:color="FFFFFF" w:fill="FFFFFF"/>
          <w:lang w:val="en-US" w:eastAsia="zh-CN" w:bidi="ar-SA"/>
        </w:rPr>
      </w:pPr>
      <w:r>
        <w:rPr>
          <w:rFonts w:hint="eastAsia" w:ascii="仿宋" w:hAnsi="仿宋" w:eastAsia="仿宋" w:cs="仿宋"/>
          <w:color w:val="auto"/>
          <w:sz w:val="32"/>
          <w:szCs w:val="32"/>
          <w:shd w:val="solid" w:color="FFFFFF" w:fill="FFFFFF"/>
          <w:lang w:val="en-US" w:eastAsia="zh-CN" w:bidi="ar-SA"/>
        </w:rPr>
        <w:t>②</w:t>
      </w:r>
      <w:r>
        <w:rPr>
          <w:rFonts w:hint="eastAsia" w:ascii="仿宋" w:eastAsia="仿宋" w:cs="仿宋"/>
          <w:color w:val="auto"/>
          <w:sz w:val="32"/>
          <w:szCs w:val="32"/>
          <w:shd w:val="solid" w:color="FFFFFF" w:fill="FFFFFF"/>
          <w:lang w:val="en-US" w:eastAsia="zh-CN" w:bidi="ar-SA"/>
        </w:rPr>
        <w:t>公务接待费：年初预算65.96万元，比上年下降1.21%，本年支出41.15万元，比上年减少9.26万元，下降18.37%，主要原因是积极贯彻落实中央八项规定要求，加强公务接待管理，从严控制“三公”经费的支出。</w:t>
      </w:r>
    </w:p>
    <w:p>
      <w:pPr>
        <w:pStyle w:val="18"/>
        <w:keepNext w:val="0"/>
        <w:keepLines w:val="0"/>
        <w:pageBreakBefore w:val="0"/>
        <w:widowControl/>
        <w:numPr>
          <w:ilvl w:val="0"/>
          <w:numId w:val="0"/>
        </w:numPr>
        <w:suppressLineNumbers w:val="0"/>
        <w:kinsoku/>
        <w:wordWrap/>
        <w:overflowPunct/>
        <w:topLinePunct w:val="0"/>
        <w:autoSpaceDE/>
        <w:autoSpaceDN/>
        <w:bidi w:val="0"/>
        <w:adjustRightInd/>
        <w:spacing w:beforeAutospacing="0" w:afterAutospacing="0" w:line="480" w:lineRule="exact"/>
        <w:ind w:leftChars="200" w:right="0" w:rightChars="0"/>
        <w:textAlignment w:val="auto"/>
        <w:rPr>
          <w:rFonts w:hint="default" w:asciiTheme="minorEastAsia" w:hAnsiTheme="minorEastAsia" w:cstheme="minorEastAsia"/>
          <w:b/>
          <w:bCs/>
          <w:color w:val="auto"/>
          <w:sz w:val="32"/>
          <w:szCs w:val="32"/>
          <w:lang w:val="en-US" w:eastAsia="zh-CN"/>
        </w:rPr>
      </w:pPr>
      <w:r>
        <w:rPr>
          <w:rFonts w:hint="eastAsia" w:asciiTheme="minorEastAsia" w:hAnsiTheme="minorEastAsia" w:cstheme="minorEastAsia"/>
          <w:b/>
          <w:bCs/>
          <w:color w:val="auto"/>
          <w:sz w:val="32"/>
          <w:szCs w:val="32"/>
          <w:lang w:val="en-US" w:eastAsia="zh-CN"/>
        </w:rPr>
        <w:t>4.综合管理情况</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⑴完善制度，建立监督管理长效机制：为切实加强管理局内部控制和会计基础工作规范，全面提高预算资金的使用效益，委托第三方机构对我局财政财务收支、固定资产管理、“三公经费”使用等经济事项进行专项审计，进一步制定完善了单位内部会计管理制度共10余项，有效强化本单位内部控制和会计基础工作规范。</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fldChar w:fldCharType="begin"/>
      </w:r>
      <w:r>
        <w:rPr>
          <w:rFonts w:hint="eastAsia" w:ascii="仿宋" w:eastAsia="仿宋" w:cs="仿宋"/>
          <w:color w:val="auto"/>
          <w:sz w:val="32"/>
          <w:szCs w:val="32"/>
          <w:shd w:val="solid" w:color="FFFFFF" w:fill="FFFFFF"/>
          <w:lang w:val="en-US" w:eastAsia="zh-CN" w:bidi="ar-SA"/>
        </w:rPr>
        <w:instrText xml:space="preserve"> = 2 \* GB2 \* MERGEFORMAT </w:instrText>
      </w:r>
      <w:r>
        <w:rPr>
          <w:rFonts w:hint="eastAsia" w:ascii="仿宋" w:eastAsia="仿宋" w:cs="仿宋"/>
          <w:color w:val="auto"/>
          <w:sz w:val="32"/>
          <w:szCs w:val="32"/>
          <w:shd w:val="solid" w:color="FFFFFF" w:fill="FFFFFF"/>
          <w:lang w:val="en-US" w:eastAsia="zh-CN" w:bidi="ar-SA"/>
        </w:rPr>
        <w:fldChar w:fldCharType="separate"/>
      </w:r>
      <w:r>
        <w:rPr>
          <w:rFonts w:hint="eastAsia" w:ascii="仿宋" w:eastAsia="仿宋" w:cs="仿宋"/>
          <w:color w:val="auto"/>
          <w:sz w:val="32"/>
          <w:szCs w:val="32"/>
          <w:shd w:val="solid" w:color="FFFFFF" w:fill="FFFFFF"/>
          <w:lang w:val="en-US" w:eastAsia="zh-CN" w:bidi="ar-SA"/>
        </w:rPr>
        <w:t>⑵</w:t>
      </w:r>
      <w:r>
        <w:rPr>
          <w:rFonts w:hint="eastAsia" w:ascii="仿宋" w:eastAsia="仿宋" w:cs="仿宋"/>
          <w:color w:val="auto"/>
          <w:sz w:val="32"/>
          <w:szCs w:val="32"/>
          <w:shd w:val="solid" w:color="FFFFFF" w:fill="FFFFFF"/>
          <w:lang w:val="en-US" w:eastAsia="zh-CN" w:bidi="ar-SA"/>
        </w:rPr>
        <w:fldChar w:fldCharType="end"/>
      </w:r>
      <w:r>
        <w:rPr>
          <w:rFonts w:hint="eastAsia" w:ascii="仿宋" w:eastAsia="仿宋" w:cs="仿宋"/>
          <w:color w:val="auto"/>
          <w:sz w:val="32"/>
          <w:szCs w:val="32"/>
          <w:shd w:val="solid" w:color="FFFFFF" w:fill="FFFFFF"/>
          <w:lang w:val="en-US" w:eastAsia="zh-CN" w:bidi="ar-SA"/>
        </w:rPr>
        <w:t>加强对差旅费的审批管理。实施出差申报层层审批制，从严控制出差人数和天数，严禁无实质内容、无明确公务目的的差旅活动，规范和完善了出差日志填报。</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fldChar w:fldCharType="begin"/>
      </w:r>
      <w:r>
        <w:rPr>
          <w:rFonts w:hint="eastAsia" w:ascii="仿宋" w:eastAsia="仿宋" w:cs="仿宋"/>
          <w:color w:val="auto"/>
          <w:sz w:val="32"/>
          <w:szCs w:val="32"/>
          <w:shd w:val="solid" w:color="FFFFFF" w:fill="FFFFFF"/>
          <w:lang w:val="en-US" w:eastAsia="zh-CN" w:bidi="ar-SA"/>
        </w:rPr>
        <w:instrText xml:space="preserve"> = 3 \* GB2 \* MERGEFORMAT </w:instrText>
      </w:r>
      <w:r>
        <w:rPr>
          <w:rFonts w:hint="eastAsia" w:ascii="仿宋" w:eastAsia="仿宋" w:cs="仿宋"/>
          <w:color w:val="auto"/>
          <w:sz w:val="32"/>
          <w:szCs w:val="32"/>
          <w:shd w:val="solid" w:color="FFFFFF" w:fill="FFFFFF"/>
          <w:lang w:val="en-US" w:eastAsia="zh-CN" w:bidi="ar-SA"/>
        </w:rPr>
        <w:fldChar w:fldCharType="separate"/>
      </w:r>
      <w:r>
        <w:rPr>
          <w:rFonts w:hint="eastAsia" w:ascii="仿宋" w:eastAsia="仿宋" w:cs="仿宋"/>
          <w:color w:val="auto"/>
          <w:sz w:val="32"/>
          <w:szCs w:val="32"/>
          <w:shd w:val="solid" w:color="FFFFFF" w:fill="FFFFFF"/>
          <w:lang w:val="en-US" w:eastAsia="zh-CN" w:bidi="ar-SA"/>
        </w:rPr>
        <w:t>⑶</w:t>
      </w:r>
      <w:r>
        <w:rPr>
          <w:rFonts w:hint="eastAsia" w:ascii="仿宋" w:eastAsia="仿宋" w:cs="仿宋"/>
          <w:color w:val="auto"/>
          <w:sz w:val="32"/>
          <w:szCs w:val="32"/>
          <w:shd w:val="solid" w:color="FFFFFF" w:fill="FFFFFF"/>
          <w:lang w:val="en-US" w:eastAsia="zh-CN" w:bidi="ar-SA"/>
        </w:rPr>
        <w:fldChar w:fldCharType="end"/>
      </w:r>
      <w:r>
        <w:rPr>
          <w:rFonts w:hint="eastAsia" w:ascii="仿宋" w:eastAsia="仿宋" w:cs="仿宋"/>
          <w:color w:val="auto"/>
          <w:sz w:val="32"/>
          <w:szCs w:val="32"/>
          <w:shd w:val="solid" w:color="FFFFFF" w:fill="FFFFFF"/>
          <w:lang w:val="en-US" w:eastAsia="zh-CN" w:bidi="ar-SA"/>
        </w:rPr>
        <w:t>加强公务用车管理。严格规范和控制公务用车、修理、用油等行为，单位公务用车一律实行派车登记制，严格按照州机关事务中心公务用车相关规定，实行定点维修，公务卡加油，统一保险制度，严禁公车私用，因公出差最大限度的拼公车，提高单车使用效率。</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fldChar w:fldCharType="begin"/>
      </w:r>
      <w:r>
        <w:rPr>
          <w:rFonts w:hint="eastAsia" w:ascii="仿宋" w:eastAsia="仿宋" w:cs="仿宋"/>
          <w:color w:val="auto"/>
          <w:sz w:val="32"/>
          <w:szCs w:val="32"/>
          <w:shd w:val="solid" w:color="FFFFFF" w:fill="FFFFFF"/>
          <w:lang w:val="en-US" w:eastAsia="zh-CN" w:bidi="ar-SA"/>
        </w:rPr>
        <w:instrText xml:space="preserve"> = 4 \* GB2 \* MERGEFORMAT </w:instrText>
      </w:r>
      <w:r>
        <w:rPr>
          <w:rFonts w:hint="eastAsia" w:ascii="仿宋" w:eastAsia="仿宋" w:cs="仿宋"/>
          <w:color w:val="auto"/>
          <w:sz w:val="32"/>
          <w:szCs w:val="32"/>
          <w:shd w:val="solid" w:color="FFFFFF" w:fill="FFFFFF"/>
          <w:lang w:val="en-US" w:eastAsia="zh-CN" w:bidi="ar-SA"/>
        </w:rPr>
        <w:fldChar w:fldCharType="separate"/>
      </w:r>
      <w:r>
        <w:rPr>
          <w:rFonts w:hint="eastAsia" w:ascii="仿宋" w:eastAsia="仿宋" w:cs="仿宋"/>
          <w:color w:val="auto"/>
          <w:sz w:val="32"/>
          <w:szCs w:val="32"/>
          <w:shd w:val="solid" w:color="FFFFFF" w:fill="FFFFFF"/>
          <w:lang w:val="en-US" w:eastAsia="zh-CN" w:bidi="ar-SA"/>
        </w:rPr>
        <w:t>⑷</w:t>
      </w:r>
      <w:r>
        <w:rPr>
          <w:rFonts w:hint="eastAsia" w:ascii="仿宋" w:eastAsia="仿宋" w:cs="仿宋"/>
          <w:color w:val="auto"/>
          <w:sz w:val="32"/>
          <w:szCs w:val="32"/>
          <w:shd w:val="solid" w:color="FFFFFF" w:fill="FFFFFF"/>
          <w:lang w:val="en-US" w:eastAsia="zh-CN" w:bidi="ar-SA"/>
        </w:rPr>
        <w:fldChar w:fldCharType="end"/>
      </w:r>
      <w:r>
        <w:rPr>
          <w:rFonts w:hint="eastAsia" w:ascii="仿宋" w:eastAsia="仿宋" w:cs="仿宋"/>
          <w:color w:val="auto"/>
          <w:sz w:val="32"/>
          <w:szCs w:val="32"/>
          <w:shd w:val="solid" w:color="FFFFFF" w:fill="FFFFFF"/>
          <w:lang w:val="en-US" w:eastAsia="zh-CN" w:bidi="ar-SA"/>
        </w:rPr>
        <w:t>加强公务接待管理：公务接待严格接待审批程序，严格执行凭公函接待制度，严格控制接待标准、范围和陪同人数，层层审批，严禁使用烟酒，严禁大吃大喝、铺张浪费。</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仿宋" w:eastAsia="仿宋" w:cs="仿宋"/>
          <w:color w:val="auto"/>
          <w:sz w:val="32"/>
          <w:szCs w:val="32"/>
          <w:shd w:val="solid" w:color="FFFFFF" w:fill="FFFFFF"/>
          <w:lang w:val="en-US" w:eastAsia="zh-CN" w:bidi="ar-SA"/>
        </w:rPr>
        <w:t>⑸加大公务卡使用管理。公务卡使用严格按阿州财库【2012】20号《阿坝州财政局关于实施州级公务卡强制结算目录制度的通知》及阿府办发【2017】23号《阿坝州人民政府办公室关于印发&lt;阿坝州州级预算单位公务卡管理办法&gt;的通知》的有关规定执行，2020年12月本单位实有在编人员74人，办公务卡72人，公务卡办卡率97.3%，使用公务卡消费报账人数53人，全年公务卡消费59.47万元，比上年下降9.08%。下降的原因是：进一步加强和规范了公务卡使用管理，凡纳入公务卡强制结算目录的支出事项，原则上应使用公务卡结算，或使用转账方式结算，但不得使用现金结算。未纳入公务卡强制结算目录的支出事项，若具备刷卡条件，要求自觉使用公务卡结算，做到“应刷尽刷”，逐步提高公务卡结算报销比例。</w:t>
      </w:r>
    </w:p>
    <w:p>
      <w:pPr>
        <w:keepNext w:val="0"/>
        <w:keepLines w:val="0"/>
        <w:pageBreakBefore w:val="0"/>
        <w:widowControl w:val="0"/>
        <w:numPr>
          <w:ilvl w:val="0"/>
          <w:numId w:val="0"/>
        </w:numPr>
        <w:kinsoku/>
        <w:wordWrap/>
        <w:overflowPunct/>
        <w:topLinePunct w:val="0"/>
        <w:autoSpaceDE/>
        <w:autoSpaceDN/>
        <w:bidi w:val="0"/>
        <w:snapToGrid w:val="0"/>
        <w:spacing w:line="480" w:lineRule="exact"/>
        <w:ind w:firstLine="640" w:firstLineChars="200"/>
        <w:textAlignment w:val="auto"/>
        <w:rPr>
          <w:rFonts w:hint="eastAsia" w:ascii="仿宋" w:eastAsia="仿宋" w:cs="仿宋"/>
          <w:color w:val="auto"/>
          <w:sz w:val="32"/>
          <w:szCs w:val="32"/>
          <w:shd w:val="solid" w:color="FFFFFF" w:fill="FFFFFF"/>
          <w:lang w:val="en-US" w:eastAsia="zh-CN" w:bidi="ar-SA"/>
        </w:rPr>
      </w:pPr>
      <w:r>
        <w:rPr>
          <w:rFonts w:hint="eastAsia" w:ascii="宋体" w:hAnsi="宋体" w:eastAsia="宋体" w:cs="宋体"/>
          <w:color w:val="auto"/>
          <w:sz w:val="32"/>
          <w:szCs w:val="32"/>
          <w:shd w:val="solid" w:color="FFFFFF" w:fill="FFFFFF"/>
          <w:lang w:val="en-US" w:eastAsia="zh-CN" w:bidi="ar-SA"/>
        </w:rPr>
        <w:t>⑹</w:t>
      </w:r>
      <w:r>
        <w:rPr>
          <w:rFonts w:hint="eastAsia" w:ascii="仿宋" w:eastAsia="仿宋" w:cs="仿宋"/>
          <w:color w:val="auto"/>
          <w:sz w:val="32"/>
          <w:szCs w:val="32"/>
          <w:shd w:val="solid" w:color="FFFFFF" w:fill="FFFFFF"/>
          <w:lang w:val="en-US" w:eastAsia="zh-CN" w:bidi="ar-SA"/>
        </w:rPr>
        <w:t>加大预算执行情况管理。以年初州财政下达的预算为依据，遵循实事求是、统筹兼顾、保障重点、厉行节约的原则，在年初及时将州财政下达的收支预算分解下达到各责任处室，同时，对年度预算执行进度进行不定期公布，及时提醒预算进度偏低的处室加大执行力度。不断完善事前计划、事中控制、事后总结反馈的财务管理体系。</w:t>
      </w:r>
    </w:p>
    <w:p>
      <w:pPr>
        <w:pStyle w:val="18"/>
        <w:keepNext w:val="0"/>
        <w:keepLines w:val="0"/>
        <w:pageBreakBefore w:val="0"/>
        <w:widowControl/>
        <w:numPr>
          <w:ilvl w:val="0"/>
          <w:numId w:val="0"/>
        </w:numPr>
        <w:suppressLineNumbers w:val="0"/>
        <w:kinsoku/>
        <w:wordWrap/>
        <w:overflowPunct/>
        <w:topLinePunct w:val="0"/>
        <w:autoSpaceDE/>
        <w:autoSpaceDN/>
        <w:bidi w:val="0"/>
        <w:adjustRightInd/>
        <w:spacing w:beforeAutospacing="0" w:afterAutospacing="0" w:line="480" w:lineRule="exact"/>
        <w:ind w:leftChars="200" w:right="0" w:rightChars="0"/>
        <w:textAlignment w:val="auto"/>
        <w:rPr>
          <w:rFonts w:hint="eastAsia" w:ascii="微软雅黑" w:hAnsi="微软雅黑" w:eastAsia="微软雅黑" w:cs="微软雅黑"/>
          <w:i w:val="0"/>
          <w:caps w:val="0"/>
          <w:color w:val="auto"/>
          <w:spacing w:val="0"/>
          <w:sz w:val="32"/>
          <w:szCs w:val="32"/>
          <w:shd w:val="clear" w:fill="FFFFFF"/>
          <w:lang w:eastAsia="zh-CN"/>
        </w:rPr>
      </w:pPr>
      <w:r>
        <w:rPr>
          <w:rFonts w:hint="eastAsia" w:asciiTheme="minorEastAsia" w:hAnsiTheme="minorEastAsia" w:cstheme="minorEastAsia"/>
          <w:b/>
          <w:bCs/>
          <w:color w:val="auto"/>
          <w:sz w:val="32"/>
          <w:szCs w:val="32"/>
          <w:lang w:eastAsia="zh-CN"/>
        </w:rPr>
        <w:t>（二）结果应用情况</w:t>
      </w:r>
    </w:p>
    <w:p>
      <w:pPr>
        <w:pStyle w:val="18"/>
        <w:keepNext w:val="0"/>
        <w:keepLines w:val="0"/>
        <w:pageBreakBefore w:val="0"/>
        <w:widowControl/>
        <w:numPr>
          <w:ilvl w:val="0"/>
          <w:numId w:val="0"/>
        </w:numPr>
        <w:suppressLineNumbers w:val="0"/>
        <w:kinsoku/>
        <w:wordWrap/>
        <w:overflowPunct/>
        <w:topLinePunct w:val="0"/>
        <w:autoSpaceDE/>
        <w:autoSpaceDN/>
        <w:bidi w:val="0"/>
        <w:adjustRightInd/>
        <w:spacing w:beforeAutospacing="0" w:afterAutospacing="0" w:line="480" w:lineRule="exact"/>
        <w:ind w:right="0" w:rightChars="0" w:firstLine="640" w:firstLineChars="200"/>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1.绩效自评公开情况。严格按照相关要求，完成本单位整体支出绩效评价报告，并随同单位部门决算在州政府和单位官方网站一同公开。</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2.评价结果整改情况：本单位对评价发现的问题，进行了专项清理，逐项整改。同时为切实加强本单位内部控制和会计基础工作规范，全面提高单位预算资金的使用效益，及时修订完善了相关内部控制制度，进一步规范了本单位财务工作日常管理活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3.评价结果应用情况：通过开展绩效评价，一方面，实现绩效评价结果在部门预算编制和执行中的应用，实现绩效评价与部门预算的有机结合，使各部门逐步树立绩效理念，对预算绩效评价工作的态度逐渐由“被动接受”变为“主动实施”。主动把预算编制与部门发展规划和绩效目标联系起来，促使预算的编制更科学、更规范，使有限的财政资金发挥更大的效益。另一方面，通过开展绩效评价，找出项目管理中存在的问题及原因，促使预算部门积极采取措施，制定和健全相关管理制度，改进相应的管理方式，逐步形成自我约束、内部规范的良性机制，提高管理水平和资金使用效益。</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80" w:lineRule="exact"/>
        <w:ind w:right="0" w:rightChars="0" w:firstLine="640" w:firstLineChars="200"/>
        <w:jc w:val="both"/>
        <w:textAlignment w:val="auto"/>
        <w:outlineLvl w:val="9"/>
        <w:rPr>
          <w:rFonts w:hint="eastAsia" w:asciiTheme="minorEastAsia" w:hAnsiTheme="minorEastAsia" w:eastAsiaTheme="minorEastAsia" w:cstheme="minorEastAsia"/>
          <w:b/>
          <w:bCs/>
          <w:color w:val="auto"/>
          <w:sz w:val="32"/>
          <w:szCs w:val="32"/>
        </w:rPr>
      </w:pPr>
      <w:r>
        <w:rPr>
          <w:rFonts w:hint="eastAsia" w:asciiTheme="minorEastAsia" w:hAnsiTheme="minorEastAsia" w:eastAsiaTheme="minorEastAsia" w:cstheme="minorEastAsia"/>
          <w:b/>
          <w:bCs/>
          <w:color w:val="auto"/>
          <w:sz w:val="32"/>
          <w:szCs w:val="32"/>
          <w:lang w:eastAsia="zh-CN"/>
        </w:rPr>
        <w:t>四、</w:t>
      </w:r>
      <w:r>
        <w:rPr>
          <w:rFonts w:hint="eastAsia" w:asciiTheme="minorEastAsia" w:hAnsiTheme="minorEastAsia" w:eastAsiaTheme="minorEastAsia" w:cstheme="minorEastAsia"/>
          <w:b/>
          <w:bCs/>
          <w:color w:val="auto"/>
          <w:sz w:val="32"/>
          <w:szCs w:val="32"/>
        </w:rPr>
        <w:t>评价结论及建议</w:t>
      </w:r>
    </w:p>
    <w:p>
      <w:pPr>
        <w:keepNext w:val="0"/>
        <w:keepLines w:val="0"/>
        <w:pageBreakBefore w:val="0"/>
        <w:kinsoku/>
        <w:wordWrap/>
        <w:overflowPunct/>
        <w:topLinePunct w:val="0"/>
        <w:autoSpaceDE/>
        <w:autoSpaceDN/>
        <w:bidi w:val="0"/>
        <w:adjustRightInd/>
        <w:snapToGrid/>
        <w:spacing w:beforeAutospacing="0" w:afterAutospacing="0" w:line="480" w:lineRule="exact"/>
        <w:ind w:right="0" w:rightChars="0" w:firstLine="640" w:firstLineChars="200"/>
        <w:textAlignment w:val="auto"/>
        <w:outlineLvl w:val="9"/>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（一）评价结论</w:t>
      </w:r>
    </w:p>
    <w:p>
      <w:pPr>
        <w:keepNext w:val="0"/>
        <w:keepLines w:val="0"/>
        <w:pageBreakBefore w:val="0"/>
        <w:kinsoku/>
        <w:wordWrap/>
        <w:overflowPunct/>
        <w:topLinePunct w:val="0"/>
        <w:autoSpaceDE/>
        <w:autoSpaceDN/>
        <w:bidi w:val="0"/>
        <w:adjustRightInd/>
        <w:snapToGrid/>
        <w:spacing w:beforeAutospacing="0" w:afterAutospacing="0" w:line="480" w:lineRule="exact"/>
        <w:ind w:right="0" w:rightChars="0" w:firstLine="640" w:firstLineChars="200"/>
        <w:textAlignment w:val="auto"/>
        <w:outlineLvl w:val="9"/>
        <w:rPr>
          <w:rFonts w:hint="default" w:ascii="仿宋" w:hAnsi="仿宋" w:eastAsia="仿宋" w:cs="仿宋"/>
          <w:i w:val="0"/>
          <w:caps w:val="0"/>
          <w:color w:val="auto"/>
          <w:spacing w:val="0"/>
          <w:sz w:val="32"/>
          <w:szCs w:val="32"/>
          <w:shd w:val="clear" w:fill="FFFFFF"/>
          <w:lang w:val="en-US" w:eastAsia="zh-CN"/>
        </w:rPr>
      </w:pPr>
      <w:r>
        <w:rPr>
          <w:rFonts w:hint="eastAsia" w:ascii="仿宋" w:hAnsi="仿宋" w:eastAsia="仿宋" w:cs="仿宋"/>
          <w:i w:val="0"/>
          <w:caps w:val="0"/>
          <w:color w:val="auto"/>
          <w:spacing w:val="0"/>
          <w:sz w:val="32"/>
          <w:szCs w:val="32"/>
          <w:shd w:val="clear" w:fill="FFFFFF"/>
          <w:lang w:val="en-US" w:eastAsia="zh-CN"/>
        </w:rPr>
        <w:t>2020年，本单位部门预算编制基础数据真实可靠，按照年度工作计划和支出标准合理编制部门预算，严格执行“三公经费”预算管理，严格审批、无超预算、无预算执行的情况。圆满地完成了各项目标任务。本单位按照阿州财监绩【2021】11号文件要求，秉承客观公正、实事求是的原则开展了单位自评工作，综合得分80分。</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jc w:val="left"/>
        <w:textAlignment w:val="auto"/>
        <w:rPr>
          <w:rFonts w:hint="eastAsia" w:ascii="仿宋" w:eastAsia="仿宋" w:cs="仿宋" w:hAnsiTheme="minorHAnsi"/>
          <w:b/>
          <w:bCs/>
          <w:color w:val="auto"/>
          <w:kern w:val="2"/>
          <w:sz w:val="32"/>
          <w:szCs w:val="32"/>
          <w:shd w:val="solid" w:color="FFFFFF" w:fill="FFFFFF"/>
          <w:lang w:val="en-US" w:eastAsia="zh-CN" w:bidi="ar-SA"/>
        </w:rPr>
      </w:pPr>
      <w:r>
        <w:rPr>
          <w:rFonts w:hint="eastAsia" w:ascii="仿宋" w:eastAsia="仿宋" w:cs="仿宋" w:hAnsiTheme="minorHAnsi"/>
          <w:b/>
          <w:bCs/>
          <w:color w:val="auto"/>
          <w:kern w:val="2"/>
          <w:sz w:val="32"/>
          <w:szCs w:val="32"/>
          <w:shd w:val="solid" w:color="FFFFFF" w:fill="FFFFFF"/>
          <w:lang w:val="en-US" w:eastAsia="zh-CN" w:bidi="ar-SA"/>
        </w:rPr>
        <w:t>(二)存在问题和改进建议</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目前的预算管理在编制和实施中还存在编制不细、预算调整较多、追加预算比重较大等现象，因此项目预算执行的准确性还待加强，同时分析手段和技术水平还有待完善。在今后的工作中，我们将进一步提高绩效管理水平，开展好整体支出及项目资金绩效管理工作，运用好绩效评价的结果，不断提升预算管理水平。</w:t>
      </w:r>
    </w:p>
    <w:p>
      <w:pPr>
        <w:pageBreakBefore w:val="0"/>
        <w:kinsoku/>
        <w:wordWrap/>
        <w:overflowPunct/>
        <w:topLinePunct w:val="0"/>
        <w:bidi w:val="0"/>
        <w:spacing w:line="480" w:lineRule="exact"/>
        <w:ind w:firstLine="640" w:firstLineChars="200"/>
        <w:rPr>
          <w:rFonts w:ascii="仿宋_GB2312" w:hAnsi="仿宋_GB2312" w:eastAsia="仿宋_GB2312" w:cs="仿宋_GB2312"/>
          <w:sz w:val="32"/>
          <w:szCs w:val="32"/>
        </w:rPr>
      </w:pPr>
    </w:p>
    <w:p>
      <w:pPr>
        <w:pageBreakBefore w:val="0"/>
        <w:kinsoku/>
        <w:wordWrap/>
        <w:overflowPunct/>
        <w:topLinePunct w:val="0"/>
        <w:bidi w:val="0"/>
        <w:spacing w:line="480" w:lineRule="exact"/>
        <w:jc w:val="left"/>
        <w:outlineLvl w:val="0"/>
        <w:rPr>
          <w:rFonts w:ascii="黑体" w:hAnsi="黑体" w:eastAsia="黑体" w:cs="黑体"/>
          <w:sz w:val="32"/>
          <w:szCs w:val="32"/>
        </w:rPr>
      </w:pPr>
      <w:bookmarkStart w:id="115" w:name="_Toc79163883"/>
      <w:bookmarkStart w:id="116" w:name="_Toc79163633"/>
      <w:r>
        <w:rPr>
          <w:rFonts w:hint="eastAsia" w:ascii="黑体" w:hAnsi="黑体" w:eastAsia="黑体" w:cs="黑体"/>
          <w:sz w:val="32"/>
          <w:szCs w:val="32"/>
        </w:rPr>
        <w:t>附件</w:t>
      </w:r>
      <w:r>
        <w:rPr>
          <w:rFonts w:ascii="黑体" w:hAnsi="黑体" w:eastAsia="黑体" w:cs="黑体"/>
          <w:sz w:val="32"/>
          <w:szCs w:val="32"/>
        </w:rPr>
        <w:t>2</w:t>
      </w:r>
      <w:bookmarkEnd w:id="115"/>
      <w:bookmarkEnd w:id="116"/>
    </w:p>
    <w:p>
      <w:pPr>
        <w:pageBreakBefore w:val="0"/>
        <w:kinsoku/>
        <w:wordWrap/>
        <w:overflowPunct/>
        <w:topLinePunct w:val="0"/>
        <w:bidi w:val="0"/>
        <w:spacing w:line="480" w:lineRule="exact"/>
        <w:ind w:firstLine="640" w:firstLineChars="200"/>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outlineLvl w:val="9"/>
        <w:rPr>
          <w:rFonts w:hint="eastAsia" w:ascii="方正小标宋简体" w:eastAsia="方正小标宋简体" w:cs="黑体"/>
          <w:sz w:val="36"/>
          <w:szCs w:val="36"/>
        </w:rPr>
      </w:pPr>
      <w:bookmarkStart w:id="117" w:name="_Toc79163885"/>
      <w:bookmarkStart w:id="118" w:name="_Toc15396618"/>
      <w:bookmarkStart w:id="119" w:name="_Toc79163635"/>
      <w:r>
        <w:rPr>
          <w:rFonts w:hint="eastAsia" w:ascii="方正小标宋简体" w:eastAsia="方正小标宋简体" w:cs="黑体"/>
          <w:sz w:val="36"/>
          <w:szCs w:val="36"/>
          <w:lang w:eastAsia="zh-CN"/>
        </w:rPr>
        <w:t>景区标识标牌更换及提升改造</w:t>
      </w:r>
      <w:r>
        <w:rPr>
          <w:rFonts w:hint="eastAsia" w:ascii="方正小标宋简体" w:eastAsia="方正小标宋简体" w:cs="黑体"/>
          <w:sz w:val="36"/>
          <w:szCs w:val="36"/>
        </w:rPr>
        <w:t>项目</w:t>
      </w:r>
    </w:p>
    <w:p>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outlineLvl w:val="9"/>
        <w:rPr>
          <w:rFonts w:hint="eastAsia" w:ascii="方正小标宋简体" w:eastAsia="方正小标宋简体" w:cs="黑体"/>
          <w:sz w:val="36"/>
          <w:szCs w:val="36"/>
          <w:lang w:eastAsia="zh-CN"/>
        </w:rPr>
      </w:pPr>
      <w:r>
        <w:rPr>
          <w:rFonts w:hint="eastAsia" w:ascii="方正小标宋简体" w:eastAsia="方正小标宋简体" w:cs="黑体"/>
          <w:sz w:val="36"/>
          <w:szCs w:val="36"/>
          <w:lang w:eastAsia="zh-CN"/>
        </w:rPr>
        <w:t>支出绩效自评报告</w:t>
      </w:r>
    </w:p>
    <w:p>
      <w:pPr>
        <w:keepNext w:val="0"/>
        <w:keepLines w:val="0"/>
        <w:pageBreakBefore w:val="0"/>
        <w:widowControl w:val="0"/>
        <w:kinsoku/>
        <w:wordWrap/>
        <w:overflowPunct/>
        <w:topLinePunct w:val="0"/>
        <w:autoSpaceDE/>
        <w:autoSpaceDN/>
        <w:bidi w:val="0"/>
        <w:adjustRightInd/>
        <w:snapToGrid w:val="0"/>
        <w:spacing w:line="480" w:lineRule="exact"/>
        <w:textAlignment w:val="auto"/>
        <w:outlineLvl w:val="9"/>
        <w:rPr>
          <w:rFonts w:hint="eastAsia" w:ascii="黑体" w:eastAsia="黑体" w:cs="黑体"/>
          <w:sz w:val="36"/>
          <w:szCs w:val="36"/>
          <w:lang w:eastAsia="zh-CN"/>
        </w:rPr>
      </w:pPr>
    </w:p>
    <w:p>
      <w:pPr>
        <w:keepNext w:val="0"/>
        <w:keepLines w:val="0"/>
        <w:pageBreakBefore w:val="0"/>
        <w:widowControl w:val="0"/>
        <w:numPr>
          <w:ilvl w:val="0"/>
          <w:numId w:val="0"/>
        </w:numPr>
        <w:tabs>
          <w:tab w:val="left" w:pos="0"/>
          <w:tab w:val="left" w:pos="3885"/>
        </w:tabs>
        <w:kinsoku/>
        <w:wordWrap/>
        <w:overflowPunct/>
        <w:topLinePunct w:val="0"/>
        <w:autoSpaceDE/>
        <w:autoSpaceDN/>
        <w:bidi w:val="0"/>
        <w:adjustRightInd/>
        <w:snapToGrid w:val="0"/>
        <w:spacing w:line="480" w:lineRule="exact"/>
        <w:ind w:left="630" w:leftChars="0"/>
        <w:jc w:val="left"/>
        <w:textAlignment w:val="auto"/>
        <w:outlineLvl w:val="9"/>
        <w:rPr>
          <w:rFonts w:hint="eastAsia" w:ascii="黑体" w:eastAsia="黑体"/>
          <w:sz w:val="30"/>
          <w:szCs w:val="30"/>
          <w:lang w:eastAsia="zh-CN"/>
        </w:rPr>
      </w:pPr>
      <w:r>
        <w:rPr>
          <w:rFonts w:hint="eastAsia" w:ascii="黑体" w:eastAsia="黑体"/>
          <w:sz w:val="30"/>
          <w:szCs w:val="30"/>
          <w:lang w:val="en-US" w:eastAsia="zh-CN"/>
        </w:rPr>
        <w:t>一、</w:t>
      </w:r>
      <w:r>
        <w:rPr>
          <w:rFonts w:hint="eastAsia" w:ascii="黑体" w:eastAsia="黑体"/>
          <w:sz w:val="30"/>
          <w:szCs w:val="30"/>
          <w:lang w:eastAsia="zh-CN"/>
        </w:rPr>
        <w:t>基本情况</w:t>
      </w:r>
    </w:p>
    <w:p>
      <w:pPr>
        <w:keepNext w:val="0"/>
        <w:keepLines w:val="0"/>
        <w:pageBreakBefore w:val="0"/>
        <w:widowControl/>
        <w:numPr>
          <w:ilvl w:val="0"/>
          <w:numId w:val="5"/>
        </w:numPr>
        <w:kinsoku/>
        <w:wordWrap/>
        <w:overflowPunct/>
        <w:topLinePunct w:val="0"/>
        <w:autoSpaceDE/>
        <w:autoSpaceDN/>
        <w:bidi w:val="0"/>
        <w:adjustRightInd w:val="0"/>
        <w:snapToGrid w:val="0"/>
        <w:spacing w:after="0" w:line="480" w:lineRule="exact"/>
        <w:ind w:left="0" w:right="0" w:firstLine="602" w:firstLineChars="200"/>
        <w:textAlignment w:val="auto"/>
        <w:rPr>
          <w:rFonts w:hint="eastAsia" w:ascii="仿宋" w:eastAsia="仿宋" w:cs="仿宋"/>
          <w:b/>
          <w:bCs/>
          <w:sz w:val="30"/>
          <w:szCs w:val="30"/>
          <w:lang w:val="en-US" w:eastAsia="zh-CN"/>
        </w:rPr>
      </w:pPr>
      <w:r>
        <w:rPr>
          <w:rFonts w:hint="eastAsia" w:ascii="仿宋" w:eastAsia="仿宋" w:cs="仿宋"/>
          <w:b/>
          <w:bCs/>
          <w:sz w:val="30"/>
          <w:szCs w:val="30"/>
          <w:lang w:val="en-US" w:eastAsia="zh-CN"/>
        </w:rPr>
        <w:t>项目概况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该项目由阿坝州财评审（2019）175号批准，达古冰川景区标识标牌更换及提升改在项目工程未立项，设计概算总投资240万元，资金来源为州本级财政资金。建设内容：第一阶段更换标识牌390个，整改66个，第二阶段新增795个，石头篆刻9个等。</w:t>
      </w:r>
    </w:p>
    <w:p>
      <w:pPr>
        <w:keepNext w:val="0"/>
        <w:keepLines w:val="0"/>
        <w:pageBreakBefore w:val="0"/>
        <w:widowControl w:val="0"/>
        <w:kinsoku/>
        <w:wordWrap/>
        <w:overflowPunct/>
        <w:topLinePunct w:val="0"/>
        <w:autoSpaceDE/>
        <w:autoSpaceDN/>
        <w:bidi w:val="0"/>
        <w:adjustRightInd/>
        <w:snapToGrid w:val="0"/>
        <w:spacing w:line="480" w:lineRule="exact"/>
        <w:ind w:firstLine="600" w:firstLineChars="200"/>
        <w:textAlignment w:val="auto"/>
        <w:outlineLvl w:val="9"/>
        <w:rPr>
          <w:rFonts w:hint="eastAsia" w:ascii="黑体" w:hAnsi="Times New Roman" w:eastAsia="黑体" w:cs="黑体"/>
          <w:color w:val="auto"/>
          <w:sz w:val="30"/>
          <w:szCs w:val="30"/>
          <w:lang w:val="en-US" w:eastAsia="zh-CN"/>
        </w:rPr>
      </w:pPr>
      <w:r>
        <w:rPr>
          <w:rFonts w:hint="eastAsia" w:ascii="黑体" w:hAnsi="Times New Roman" w:eastAsia="黑体" w:cs="黑体"/>
          <w:color w:val="auto"/>
          <w:sz w:val="30"/>
          <w:szCs w:val="30"/>
          <w:lang w:val="en-US" w:eastAsia="zh-CN"/>
        </w:rPr>
        <w:t>（二）项目实施情况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本项目于2019年5月29日成立工作组，2019年10月29日通过委托招标代理机构公开招标确定成都浩龙广告有限公司为项目的承建单位，2019年11月25日完成初验，2020年8月20日完成竣工验收。</w:t>
      </w:r>
    </w:p>
    <w:p>
      <w:pPr>
        <w:keepNext w:val="0"/>
        <w:keepLines w:val="0"/>
        <w:pageBreakBefore w:val="0"/>
        <w:widowControl/>
        <w:kinsoku/>
        <w:wordWrap/>
        <w:overflowPunct/>
        <w:topLinePunct w:val="0"/>
        <w:autoSpaceDE/>
        <w:autoSpaceDN/>
        <w:bidi w:val="0"/>
        <w:adjustRightInd w:val="0"/>
        <w:snapToGrid w:val="0"/>
        <w:spacing w:after="0" w:line="480" w:lineRule="exact"/>
        <w:ind w:left="420" w:leftChars="200" w:right="0"/>
        <w:textAlignment w:val="auto"/>
        <w:rPr>
          <w:rFonts w:hint="eastAsia" w:ascii="仿宋" w:eastAsia="仿宋" w:cs="仿宋"/>
          <w:b/>
          <w:bCs/>
          <w:sz w:val="30"/>
          <w:szCs w:val="30"/>
          <w:lang w:val="en-US" w:eastAsia="zh-CN"/>
        </w:rPr>
      </w:pPr>
      <w:r>
        <w:rPr>
          <w:rFonts w:hint="eastAsia" w:ascii="仿宋" w:eastAsia="仿宋" w:cs="仿宋"/>
          <w:b/>
          <w:bCs/>
          <w:sz w:val="30"/>
          <w:szCs w:val="30"/>
          <w:lang w:val="en-US" w:eastAsia="zh-CN"/>
        </w:rPr>
        <w:t>（</w:t>
      </w:r>
      <w:r>
        <w:rPr>
          <w:rFonts w:hint="eastAsia" w:ascii="黑体" w:hAnsi="Times New Roman" w:eastAsia="黑体" w:cs="黑体"/>
          <w:color w:val="auto"/>
          <w:sz w:val="30"/>
          <w:szCs w:val="30"/>
          <w:lang w:val="en-US" w:eastAsia="zh-CN"/>
        </w:rPr>
        <w:t>三）资金投入使用情况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截止目前，应支付2,294,365.00元，已支付2,183,651.75元，支付率95.17%。其中：工程款2,103,551.75元，支付率95%（剩余110713.25质保金未支付）；设计费71,000.00元，支付率100%；审计服务费9100.00元，支付率100%。</w:t>
      </w:r>
    </w:p>
    <w:p>
      <w:pPr>
        <w:keepNext w:val="0"/>
        <w:keepLines w:val="0"/>
        <w:pageBreakBefore w:val="0"/>
        <w:widowControl/>
        <w:kinsoku/>
        <w:wordWrap/>
        <w:overflowPunct/>
        <w:topLinePunct w:val="0"/>
        <w:autoSpaceDE/>
        <w:autoSpaceDN/>
        <w:bidi w:val="0"/>
        <w:adjustRightInd w:val="0"/>
        <w:snapToGrid w:val="0"/>
        <w:spacing w:after="0" w:line="480" w:lineRule="exact"/>
        <w:ind w:left="0" w:right="0" w:firstLine="602" w:firstLineChars="200"/>
        <w:textAlignment w:val="auto"/>
        <w:rPr>
          <w:rFonts w:hint="eastAsia" w:ascii="仿宋" w:eastAsia="仿宋" w:cs="仿宋"/>
          <w:b/>
          <w:bCs/>
          <w:sz w:val="30"/>
          <w:szCs w:val="30"/>
          <w:lang w:val="en-US" w:eastAsia="zh-CN"/>
        </w:rPr>
      </w:pPr>
      <w:r>
        <w:rPr>
          <w:rFonts w:hint="eastAsia" w:ascii="仿宋" w:eastAsia="仿宋" w:cs="仿宋"/>
          <w:b/>
          <w:bCs/>
          <w:sz w:val="30"/>
          <w:szCs w:val="30"/>
          <w:lang w:val="en-US" w:eastAsia="zh-CN"/>
        </w:rPr>
        <w:t>（</w:t>
      </w:r>
      <w:r>
        <w:rPr>
          <w:rFonts w:hint="eastAsia" w:ascii="黑体" w:hAnsi="Times New Roman" w:eastAsia="黑体" w:cs="黑体"/>
          <w:color w:val="auto"/>
          <w:sz w:val="30"/>
          <w:szCs w:val="30"/>
          <w:lang w:val="en-US" w:eastAsia="zh-CN"/>
        </w:rPr>
        <w:t>四）项目绩效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让景区对外展示出一个良好的形象，景区内所有关于“达古冰山”的标识标牌、导视系统等均需要更换为“达古冰川”，这样才能给游客一个科学、系统、全面的解说。</w:t>
      </w:r>
    </w:p>
    <w:p>
      <w:pPr>
        <w:keepNext w:val="0"/>
        <w:keepLines w:val="0"/>
        <w:pageBreakBefore w:val="0"/>
        <w:widowControl w:val="0"/>
        <w:kinsoku/>
        <w:wordWrap/>
        <w:overflowPunct/>
        <w:topLinePunct w:val="0"/>
        <w:autoSpaceDE/>
        <w:autoSpaceDN/>
        <w:bidi w:val="0"/>
        <w:adjustRightInd/>
        <w:snapToGrid w:val="0"/>
        <w:spacing w:line="480" w:lineRule="exact"/>
        <w:ind w:firstLine="600" w:firstLineChars="200"/>
        <w:textAlignment w:val="auto"/>
        <w:outlineLvl w:val="9"/>
        <w:rPr>
          <w:rFonts w:hint="eastAsia" w:ascii="宋体" w:hAnsi="宋体" w:eastAsia="仿宋_GB2312"/>
          <w:color w:val="auto"/>
          <w:sz w:val="30"/>
          <w:szCs w:val="30"/>
          <w:lang w:eastAsia="zh-CN"/>
        </w:rPr>
      </w:pPr>
      <w:r>
        <w:rPr>
          <w:rFonts w:hint="eastAsia" w:ascii="黑体" w:eastAsia="黑体" w:cs="黑体"/>
          <w:color w:val="auto"/>
          <w:sz w:val="30"/>
          <w:szCs w:val="30"/>
          <w:lang w:eastAsia="zh-CN"/>
        </w:rPr>
        <w:t>二、评价工作开展情况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2020年度，我局严格按照阿州财监绩【2021】11号文件要求，选取了景区标识标牌更换及提升改造项目开展绩效自评。重点对项目的资金投入使用情况、组织实施情况、完成情况、绩效目标等情况，以2019年项目支出绩效评价指标体系为标准进行评价。</w:t>
      </w:r>
    </w:p>
    <w:p>
      <w:pPr>
        <w:keepNext w:val="0"/>
        <w:keepLines w:val="0"/>
        <w:pageBreakBefore w:val="0"/>
        <w:widowControl w:val="0"/>
        <w:kinsoku/>
        <w:wordWrap/>
        <w:overflowPunct/>
        <w:topLinePunct w:val="0"/>
        <w:autoSpaceDE/>
        <w:autoSpaceDN/>
        <w:bidi w:val="0"/>
        <w:adjustRightInd/>
        <w:snapToGrid w:val="0"/>
        <w:spacing w:line="480" w:lineRule="exact"/>
        <w:ind w:left="420" w:leftChars="200"/>
        <w:textAlignment w:val="auto"/>
        <w:outlineLvl w:val="9"/>
        <w:rPr>
          <w:rFonts w:hint="eastAsia" w:ascii="黑体" w:eastAsia="黑体"/>
          <w:sz w:val="30"/>
          <w:szCs w:val="30"/>
          <w:lang w:eastAsia="zh-CN"/>
        </w:rPr>
      </w:pPr>
      <w:r>
        <w:rPr>
          <w:rFonts w:hint="eastAsia" w:ascii="黑体" w:eastAsia="黑体"/>
          <w:sz w:val="30"/>
          <w:szCs w:val="30"/>
          <w:lang w:val="en-US" w:eastAsia="zh-CN"/>
        </w:rPr>
        <w:t>三、</w:t>
      </w:r>
      <w:r>
        <w:rPr>
          <w:rFonts w:hint="eastAsia" w:ascii="黑体" w:eastAsia="黑体"/>
          <w:sz w:val="30"/>
          <w:szCs w:val="30"/>
          <w:lang w:eastAsia="zh-CN"/>
        </w:rPr>
        <w:t>综合</w:t>
      </w:r>
      <w:r>
        <w:rPr>
          <w:rFonts w:hint="eastAsia" w:ascii="黑体" w:eastAsia="黑体"/>
          <w:sz w:val="30"/>
          <w:szCs w:val="30"/>
        </w:rPr>
        <w:t>评价结论</w:t>
      </w:r>
      <w:r>
        <w:rPr>
          <w:rFonts w:hint="eastAsia" w:ascii="黑体" w:eastAsia="黑体"/>
          <w:sz w:val="30"/>
          <w:szCs w:val="30"/>
          <w:lang w:eastAsia="zh-CN"/>
        </w:rPr>
        <w:t>（附评分表）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项目已按施工合同、设计要求完成，概算执行及调整情况良好，不存在超概算、自行扩大规模、提高标准和计划外项目等情况；项目管理规范；项目进度管理情况良好，达到预期效果。自评得分97分。</w:t>
      </w:r>
    </w:p>
    <w:p>
      <w:pPr>
        <w:keepNext w:val="0"/>
        <w:keepLines w:val="0"/>
        <w:pageBreakBefore w:val="0"/>
        <w:widowControl w:val="0"/>
        <w:numPr>
          <w:ilvl w:val="0"/>
          <w:numId w:val="6"/>
        </w:numPr>
        <w:kinsoku/>
        <w:wordWrap/>
        <w:overflowPunct/>
        <w:topLinePunct w:val="0"/>
        <w:autoSpaceDE/>
        <w:autoSpaceDN/>
        <w:bidi w:val="0"/>
        <w:adjustRightInd/>
        <w:snapToGrid w:val="0"/>
        <w:spacing w:line="480" w:lineRule="exact"/>
        <w:ind w:left="0" w:firstLine="600" w:firstLineChars="200"/>
        <w:textAlignment w:val="auto"/>
        <w:outlineLvl w:val="9"/>
        <w:rPr>
          <w:rFonts w:hint="eastAsia" w:ascii="黑体" w:eastAsia="黑体" w:cs="黑体"/>
          <w:b w:val="0"/>
          <w:bCs/>
          <w:sz w:val="30"/>
          <w:szCs w:val="30"/>
          <w:lang w:eastAsia="zh-CN"/>
        </w:rPr>
      </w:pPr>
      <w:r>
        <w:rPr>
          <w:rFonts w:hint="eastAsia" w:ascii="黑体" w:eastAsia="黑体" w:cs="黑体"/>
          <w:b w:val="0"/>
          <w:bCs/>
          <w:sz w:val="30"/>
          <w:szCs w:val="30"/>
          <w:lang w:eastAsia="zh-CN"/>
        </w:rPr>
        <w:t>绩效评价分析</w:t>
      </w:r>
    </w:p>
    <w:p>
      <w:pPr>
        <w:keepNext w:val="0"/>
        <w:keepLines w:val="0"/>
        <w:pageBreakBefore w:val="0"/>
        <w:widowControl/>
        <w:numPr>
          <w:ilvl w:val="0"/>
          <w:numId w:val="7"/>
        </w:numPr>
        <w:kinsoku/>
        <w:wordWrap/>
        <w:overflowPunct/>
        <w:topLinePunct w:val="0"/>
        <w:autoSpaceDE/>
        <w:autoSpaceDN/>
        <w:bidi w:val="0"/>
        <w:adjustRightInd w:val="0"/>
        <w:snapToGrid w:val="0"/>
        <w:spacing w:after="0" w:line="480" w:lineRule="exact"/>
        <w:ind w:left="0" w:right="0" w:firstLine="602" w:firstLineChars="200"/>
        <w:textAlignment w:val="auto"/>
        <w:rPr>
          <w:rFonts w:hint="eastAsia" w:ascii="楷体_GB2312" w:eastAsia="楷体_GB2312"/>
          <w:b/>
          <w:sz w:val="30"/>
          <w:szCs w:val="30"/>
          <w:lang w:eastAsia="zh-CN"/>
        </w:rPr>
      </w:pPr>
      <w:r>
        <w:rPr>
          <w:rFonts w:hint="eastAsia" w:ascii="楷体_GB2312" w:eastAsia="楷体_GB2312"/>
          <w:b/>
          <w:sz w:val="30"/>
          <w:szCs w:val="30"/>
          <w:lang w:eastAsia="zh-CN"/>
        </w:rPr>
        <w:t>项目决策情况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2019年1月4日达古冰川管理局向州人民政府呈报《达古冰山管理局关于景区更名为达古冰川风景名胜区的讲示》，请示提请“景区山门、游人中心及景区内标识标牌系统共计1217处的更换费用240万元”。2019年4月3日召开的十二届州人民政府第26次常务会议议定原则同意《达古冰山景区更名为达古冰川风景名胜区的讲示》；2019年5月18日，州委十一届党委会第70次会议，审议州政府党组关于达古冰山风景名胜区更名为达古冰川风景名胜区的报告，审议意见：原则同意，筹备挂牌。</w:t>
      </w:r>
    </w:p>
    <w:p>
      <w:pPr>
        <w:keepNext w:val="0"/>
        <w:keepLines w:val="0"/>
        <w:pageBreakBefore w:val="0"/>
        <w:widowControl/>
        <w:numPr>
          <w:ilvl w:val="0"/>
          <w:numId w:val="7"/>
        </w:numPr>
        <w:kinsoku/>
        <w:wordWrap/>
        <w:overflowPunct/>
        <w:topLinePunct w:val="0"/>
        <w:autoSpaceDE/>
        <w:autoSpaceDN/>
        <w:bidi w:val="0"/>
        <w:adjustRightInd w:val="0"/>
        <w:snapToGrid w:val="0"/>
        <w:spacing w:after="0" w:line="480" w:lineRule="exact"/>
        <w:ind w:left="0" w:right="0" w:firstLine="602" w:firstLineChars="200"/>
        <w:textAlignment w:val="auto"/>
        <w:rPr>
          <w:rFonts w:hint="eastAsia" w:ascii="楷体_GB2312" w:eastAsia="楷体_GB2312"/>
          <w:b/>
          <w:sz w:val="30"/>
          <w:szCs w:val="30"/>
          <w:lang w:val="en-US" w:eastAsia="zh-CN"/>
        </w:rPr>
      </w:pPr>
      <w:r>
        <w:rPr>
          <w:rFonts w:hint="eastAsia" w:ascii="楷体_GB2312" w:eastAsia="楷体_GB2312"/>
          <w:b/>
          <w:sz w:val="30"/>
          <w:szCs w:val="30"/>
          <w:lang w:eastAsia="zh-CN"/>
        </w:rPr>
        <w:t>项目管理情况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我局信息中心安排专人负责对本项目进行了全过程监督管理，质量控制良好，未出现重大及以上质量事故；无安全生产事故发生；在项目执行前后，无人员违法违纪情况发生。</w:t>
      </w:r>
    </w:p>
    <w:p>
      <w:pPr>
        <w:keepNext w:val="0"/>
        <w:keepLines w:val="0"/>
        <w:pageBreakBefore w:val="0"/>
        <w:widowControl/>
        <w:numPr>
          <w:ilvl w:val="0"/>
          <w:numId w:val="7"/>
        </w:numPr>
        <w:kinsoku/>
        <w:wordWrap/>
        <w:overflowPunct/>
        <w:topLinePunct w:val="0"/>
        <w:autoSpaceDE/>
        <w:autoSpaceDN/>
        <w:bidi w:val="0"/>
        <w:adjustRightInd w:val="0"/>
        <w:snapToGrid w:val="0"/>
        <w:spacing w:after="0" w:line="480" w:lineRule="exact"/>
        <w:ind w:left="0" w:right="0" w:firstLine="602" w:firstLineChars="200"/>
        <w:textAlignment w:val="auto"/>
        <w:rPr>
          <w:rFonts w:hint="eastAsia" w:ascii="楷体_GB2312" w:eastAsia="楷体_GB2312"/>
          <w:b/>
          <w:sz w:val="30"/>
          <w:szCs w:val="30"/>
          <w:lang w:eastAsia="zh-CN"/>
        </w:rPr>
      </w:pPr>
      <w:r>
        <w:rPr>
          <w:rFonts w:hint="eastAsia" w:ascii="楷体_GB2312" w:eastAsia="楷体_GB2312"/>
          <w:b/>
          <w:sz w:val="30"/>
          <w:szCs w:val="30"/>
          <w:lang w:eastAsia="zh-CN"/>
        </w:rPr>
        <w:t>项目产出情况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新增标识标牌1197项，景观石修改27处，标牌整改389处。</w:t>
      </w:r>
    </w:p>
    <w:p>
      <w:pPr>
        <w:keepNext w:val="0"/>
        <w:keepLines w:val="0"/>
        <w:pageBreakBefore w:val="0"/>
        <w:widowControl/>
        <w:numPr>
          <w:ilvl w:val="0"/>
          <w:numId w:val="7"/>
        </w:numPr>
        <w:kinsoku/>
        <w:wordWrap/>
        <w:overflowPunct/>
        <w:topLinePunct w:val="0"/>
        <w:autoSpaceDE/>
        <w:autoSpaceDN/>
        <w:bidi w:val="0"/>
        <w:adjustRightInd w:val="0"/>
        <w:snapToGrid w:val="0"/>
        <w:spacing w:after="0" w:line="480" w:lineRule="exact"/>
        <w:ind w:left="0" w:right="0" w:firstLine="602" w:firstLineChars="200"/>
        <w:textAlignment w:val="auto"/>
        <w:rPr>
          <w:rFonts w:hint="eastAsia" w:ascii="楷体_GB2312" w:eastAsia="楷体_GB2312"/>
          <w:b/>
          <w:sz w:val="30"/>
          <w:szCs w:val="30"/>
          <w:lang w:val="en-US" w:eastAsia="zh-CN"/>
        </w:rPr>
      </w:pPr>
      <w:r>
        <w:rPr>
          <w:rFonts w:hint="eastAsia" w:ascii="楷体_GB2312" w:eastAsia="楷体_GB2312"/>
          <w:b/>
          <w:sz w:val="30"/>
          <w:szCs w:val="30"/>
          <w:lang w:eastAsia="zh-CN"/>
        </w:rPr>
        <w:t>项目效益情况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 xml:space="preserve">完成了景区导视系统、标识标牌的更换，以及新增工作，为游客游览景区提供了系统、科学的指导。 </w:t>
      </w:r>
    </w:p>
    <w:p>
      <w:pPr>
        <w:keepNext w:val="0"/>
        <w:keepLines w:val="0"/>
        <w:pageBreakBefore w:val="0"/>
        <w:widowControl w:val="0"/>
        <w:kinsoku/>
        <w:wordWrap/>
        <w:overflowPunct/>
        <w:topLinePunct w:val="0"/>
        <w:autoSpaceDE/>
        <w:autoSpaceDN/>
        <w:bidi w:val="0"/>
        <w:adjustRightInd/>
        <w:snapToGrid w:val="0"/>
        <w:spacing w:line="480" w:lineRule="exact"/>
        <w:ind w:firstLine="600" w:firstLineChars="200"/>
        <w:textAlignment w:val="auto"/>
        <w:outlineLvl w:val="9"/>
        <w:rPr>
          <w:rFonts w:hint="eastAsia" w:ascii="黑体" w:eastAsia="黑体"/>
          <w:sz w:val="30"/>
          <w:szCs w:val="30"/>
        </w:rPr>
      </w:pPr>
      <w:r>
        <w:rPr>
          <w:rFonts w:hint="eastAsia" w:ascii="黑体" w:eastAsia="黑体"/>
          <w:sz w:val="30"/>
          <w:szCs w:val="30"/>
        </w:rPr>
        <w:t>五、存在主要问题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无。</w:t>
      </w:r>
    </w:p>
    <w:p>
      <w:pPr>
        <w:keepNext w:val="0"/>
        <w:keepLines w:val="0"/>
        <w:pageBreakBefore w:val="0"/>
        <w:widowControl w:val="0"/>
        <w:kinsoku/>
        <w:wordWrap/>
        <w:overflowPunct/>
        <w:topLinePunct w:val="0"/>
        <w:autoSpaceDE/>
        <w:autoSpaceDN/>
        <w:bidi w:val="0"/>
        <w:adjustRightInd/>
        <w:snapToGrid w:val="0"/>
        <w:spacing w:line="480" w:lineRule="exact"/>
        <w:ind w:left="420" w:leftChars="200"/>
        <w:textAlignment w:val="auto"/>
        <w:outlineLvl w:val="9"/>
        <w:rPr>
          <w:rFonts w:hint="eastAsia" w:ascii="黑体" w:eastAsia="黑体"/>
          <w:sz w:val="30"/>
          <w:szCs w:val="30"/>
        </w:rPr>
      </w:pPr>
      <w:r>
        <w:rPr>
          <w:rFonts w:hint="eastAsia" w:ascii="黑体" w:eastAsia="黑体"/>
          <w:sz w:val="30"/>
          <w:szCs w:val="30"/>
          <w:lang w:val="en-US" w:eastAsia="zh-CN"/>
        </w:rPr>
        <w:t>六、</w:t>
      </w:r>
      <w:r>
        <w:rPr>
          <w:rFonts w:hint="eastAsia" w:ascii="黑体" w:eastAsia="黑体"/>
          <w:sz w:val="30"/>
          <w:szCs w:val="30"/>
        </w:rPr>
        <w:t>相关措施建议</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仿宋" w:eastAsia="仿宋" w:cs="仿宋" w:hAnsiTheme="minorHAnsi"/>
          <w:color w:val="auto"/>
          <w:kern w:val="2"/>
          <w:sz w:val="32"/>
          <w:szCs w:val="32"/>
          <w:shd w:val="solid" w:color="FFFFFF" w:fill="FFFFFF"/>
          <w:lang w:val="en-US" w:eastAsia="zh-CN" w:bidi="ar-SA"/>
        </w:rPr>
      </w:pPr>
    </w:p>
    <w:p>
      <w:pPr>
        <w:pageBreakBefore w:val="0"/>
        <w:tabs>
          <w:tab w:val="left" w:pos="3885"/>
        </w:tabs>
        <w:kinsoku/>
        <w:wordWrap/>
        <w:overflowPunct/>
        <w:topLinePunct w:val="0"/>
        <w:bidi w:val="0"/>
        <w:snapToGrid w:val="0"/>
        <w:spacing w:beforeLines="0" w:afterLines="0" w:line="480" w:lineRule="exact"/>
        <w:jc w:val="center"/>
        <w:rPr>
          <w:rFonts w:hint="eastAsia" w:ascii="方正小标宋简体" w:eastAsia="方正小标宋简体" w:cs="黑体"/>
          <w:sz w:val="36"/>
          <w:szCs w:val="36"/>
        </w:rPr>
      </w:pPr>
      <w:r>
        <w:rPr>
          <w:rFonts w:hint="eastAsia" w:ascii="方正小标宋简体" w:eastAsia="方正小标宋简体" w:cs="黑体"/>
          <w:sz w:val="36"/>
          <w:szCs w:val="36"/>
        </w:rPr>
        <w:t>景区9.13大型山洪泥石流应急抢险修复工程</w:t>
      </w:r>
    </w:p>
    <w:p>
      <w:pPr>
        <w:pageBreakBefore w:val="0"/>
        <w:tabs>
          <w:tab w:val="left" w:pos="3885"/>
        </w:tabs>
        <w:kinsoku/>
        <w:wordWrap/>
        <w:overflowPunct/>
        <w:topLinePunct w:val="0"/>
        <w:bidi w:val="0"/>
        <w:snapToGrid w:val="0"/>
        <w:spacing w:beforeLines="0" w:afterLines="0" w:line="480" w:lineRule="exact"/>
        <w:jc w:val="center"/>
        <w:rPr>
          <w:rFonts w:hint="eastAsia" w:ascii="方正小标宋简体" w:eastAsia="方正小标宋简体" w:cs="黑体"/>
          <w:sz w:val="36"/>
          <w:szCs w:val="36"/>
        </w:rPr>
      </w:pPr>
      <w:r>
        <w:rPr>
          <w:rFonts w:hint="eastAsia" w:ascii="方正小标宋简体" w:eastAsia="方正小标宋简体" w:cs="黑体"/>
          <w:sz w:val="36"/>
          <w:szCs w:val="36"/>
        </w:rPr>
        <w:t>支出绩效自评报告</w:t>
      </w:r>
    </w:p>
    <w:p>
      <w:pPr>
        <w:pageBreakBefore w:val="0"/>
        <w:tabs>
          <w:tab w:val="left" w:pos="3885"/>
        </w:tabs>
        <w:kinsoku/>
        <w:wordWrap/>
        <w:overflowPunct/>
        <w:topLinePunct w:val="0"/>
        <w:bidi w:val="0"/>
        <w:snapToGrid w:val="0"/>
        <w:spacing w:beforeLines="0" w:afterLines="0" w:line="480" w:lineRule="exact"/>
        <w:ind w:firstLine="643" w:firstLineChars="200"/>
        <w:jc w:val="left"/>
        <w:rPr>
          <w:rFonts w:hint="eastAsia" w:ascii="宋体" w:hAnsi="宋体" w:eastAsia="宋体"/>
          <w:b/>
          <w:sz w:val="32"/>
          <w:szCs w:val="21"/>
        </w:rPr>
      </w:pPr>
    </w:p>
    <w:p>
      <w:pPr>
        <w:pageBreakBefore w:val="0"/>
        <w:numPr>
          <w:ilvl w:val="0"/>
          <w:numId w:val="8"/>
        </w:numPr>
        <w:tabs>
          <w:tab w:val="left" w:pos="3885"/>
        </w:tabs>
        <w:kinsoku/>
        <w:wordWrap/>
        <w:overflowPunct/>
        <w:topLinePunct w:val="0"/>
        <w:bidi w:val="0"/>
        <w:snapToGrid w:val="0"/>
        <w:spacing w:beforeLines="0" w:afterLines="0" w:line="480" w:lineRule="exact"/>
        <w:ind w:firstLine="640" w:firstLineChars="200"/>
        <w:jc w:val="left"/>
        <w:rPr>
          <w:rFonts w:hint="eastAsia" w:ascii="黑体" w:eastAsia="黑体"/>
          <w:sz w:val="32"/>
          <w:szCs w:val="21"/>
        </w:rPr>
      </w:pPr>
      <w:r>
        <w:rPr>
          <w:rFonts w:hint="eastAsia" w:ascii="黑体" w:eastAsia="黑体"/>
          <w:sz w:val="32"/>
          <w:szCs w:val="21"/>
        </w:rPr>
        <w:t>基本情况</w:t>
      </w:r>
    </w:p>
    <w:p>
      <w:pPr>
        <w:pageBreakBefore w:val="0"/>
        <w:kinsoku/>
        <w:wordWrap/>
        <w:overflowPunct/>
        <w:topLinePunct w:val="0"/>
        <w:bidi w:val="0"/>
        <w:adjustRightInd w:val="0"/>
        <w:snapToGrid w:val="0"/>
        <w:spacing w:beforeLines="0" w:afterLines="0" w:line="480" w:lineRule="exact"/>
        <w:ind w:firstLine="643" w:firstLineChars="200"/>
        <w:rPr>
          <w:rFonts w:hint="eastAsia" w:ascii="仿宋_GB2312" w:cs="仿宋_GB2312"/>
          <w:sz w:val="32"/>
          <w:szCs w:val="21"/>
        </w:rPr>
      </w:pPr>
      <w:r>
        <w:rPr>
          <w:rFonts w:hint="eastAsia" w:ascii="仿宋_GB2312" w:cs="仿宋_GB2312"/>
          <w:b/>
          <w:sz w:val="32"/>
          <w:szCs w:val="21"/>
        </w:rPr>
        <w:t>（一）项目概况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该项目总投资4173401.00元，资金组成：2019年中央自然灾害救灾资金50万元（川财建〔2019〕174号、阿州财建〔2019〕107号）；2019年地质灾害防治体系建设资金100万元（川财资环〔2019〕15号）；达古冰川管理局2019年度应急资金20万元；其余部分由州财局统筹解决。</w:t>
      </w:r>
      <w:r>
        <w:rPr>
          <w:rFonts w:hint="eastAsia" w:ascii="仿宋" w:eastAsia="仿宋" w:cs="仿宋" w:hAnsiTheme="minorHAnsi"/>
          <w:color w:val="auto"/>
          <w:kern w:val="2"/>
          <w:sz w:val="32"/>
          <w:szCs w:val="32"/>
          <w:shd w:val="solid" w:color="FFFFFF" w:fill="FFFFFF"/>
          <w:lang w:val="zh-CN" w:eastAsia="zh-CN" w:bidi="ar-SA"/>
        </w:rPr>
        <w:t>项目主要内容：</w:t>
      </w:r>
      <w:r>
        <w:rPr>
          <w:rFonts w:hint="eastAsia" w:ascii="仿宋" w:eastAsia="仿宋" w:cs="仿宋" w:hAnsiTheme="minorHAnsi"/>
          <w:color w:val="auto"/>
          <w:kern w:val="2"/>
          <w:sz w:val="32"/>
          <w:szCs w:val="32"/>
          <w:shd w:val="solid" w:color="FFFFFF" w:fill="FFFFFF"/>
          <w:lang w:val="en-US" w:eastAsia="zh-CN" w:bidi="ar-SA"/>
        </w:rPr>
        <w:t>工程内容为达古冰川景区生活用水水厂维修、挡土墙工程、河道清淤及相关附属工程等。</w:t>
      </w:r>
    </w:p>
    <w:p>
      <w:pPr>
        <w:pageBreakBefore w:val="0"/>
        <w:kinsoku/>
        <w:wordWrap/>
        <w:overflowPunct/>
        <w:topLinePunct w:val="0"/>
        <w:bidi w:val="0"/>
        <w:adjustRightInd w:val="0"/>
        <w:snapToGrid w:val="0"/>
        <w:spacing w:beforeLines="0" w:afterLines="0" w:line="480" w:lineRule="exact"/>
        <w:ind w:firstLine="720"/>
        <w:rPr>
          <w:rFonts w:hint="eastAsia" w:ascii="仿宋_GB2312" w:cs="仿宋_GB2312"/>
          <w:sz w:val="32"/>
          <w:szCs w:val="21"/>
        </w:rPr>
      </w:pPr>
      <w:r>
        <w:rPr>
          <w:rFonts w:hint="eastAsia" w:ascii="仿宋_GB2312" w:cs="仿宋_GB2312"/>
          <w:b/>
          <w:sz w:val="32"/>
          <w:szCs w:val="21"/>
        </w:rPr>
        <w:t>（二）项目实施情况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项目建设地址位于达古冰川景区内，主要建设内容为景区生产生活水厂维修、新建挡土墙、河道清淤及附属工程。项目由四川三星平建设有限公司承建，项目勘察单位为中都工程设计有限公司，项目设计单位为中国华西工程设计建设有限公司，项目于2019年9月14日开工，于2019年11月14日竣工验收。</w:t>
      </w:r>
    </w:p>
    <w:p>
      <w:pPr>
        <w:pageBreakBefore w:val="0"/>
        <w:kinsoku/>
        <w:wordWrap/>
        <w:overflowPunct/>
        <w:topLinePunct w:val="0"/>
        <w:bidi w:val="0"/>
        <w:adjustRightInd w:val="0"/>
        <w:snapToGrid w:val="0"/>
        <w:spacing w:beforeLines="0" w:afterLines="0" w:line="480" w:lineRule="exact"/>
        <w:ind w:firstLine="720"/>
        <w:rPr>
          <w:rFonts w:hint="eastAsia" w:ascii="仿宋_GB2312" w:cs="仿宋_GB2312"/>
          <w:b/>
          <w:sz w:val="32"/>
          <w:szCs w:val="21"/>
        </w:rPr>
      </w:pPr>
      <w:r>
        <w:rPr>
          <w:rFonts w:hint="eastAsia" w:ascii="仿宋_GB2312" w:cs="仿宋_GB2312"/>
          <w:b/>
          <w:sz w:val="32"/>
          <w:szCs w:val="21"/>
        </w:rPr>
        <w:t>（三）资金投入使用情况</w:t>
      </w:r>
    </w:p>
    <w:p>
      <w:pPr>
        <w:pageBreakBefore w:val="0"/>
        <w:kinsoku/>
        <w:wordWrap/>
        <w:overflowPunct/>
        <w:topLinePunct w:val="0"/>
        <w:bidi w:val="0"/>
        <w:spacing w:beforeLines="0" w:afterLines="0" w:line="480" w:lineRule="exact"/>
        <w:ind w:firstLine="640" w:firstLineChars="200"/>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截止目前，应支付4173401.00元，已支付4173401.00元，支付率100%。其中：工程费3998041.00元，支付率100%；勘察费：78000.00元，支付率100%；设计费：97360.00元，支付率100%。项目资金安排合理，并严格按工程进度支付。</w:t>
      </w:r>
    </w:p>
    <w:p>
      <w:pPr>
        <w:pageBreakBefore w:val="0"/>
        <w:kinsoku/>
        <w:wordWrap/>
        <w:overflowPunct/>
        <w:topLinePunct w:val="0"/>
        <w:bidi w:val="0"/>
        <w:adjustRightInd w:val="0"/>
        <w:snapToGrid w:val="0"/>
        <w:spacing w:beforeLines="0" w:afterLines="0" w:line="480" w:lineRule="exact"/>
        <w:ind w:firstLine="720"/>
        <w:rPr>
          <w:rFonts w:hint="eastAsia" w:ascii="仿宋_GB2312" w:cs="仿宋_GB2312"/>
          <w:b/>
          <w:sz w:val="32"/>
          <w:szCs w:val="21"/>
        </w:rPr>
      </w:pPr>
      <w:r>
        <w:rPr>
          <w:rFonts w:hint="eastAsia" w:ascii="仿宋_GB2312" w:cs="仿宋_GB2312"/>
          <w:b/>
          <w:sz w:val="32"/>
          <w:szCs w:val="21"/>
        </w:rPr>
        <w:t>（四）项目绩效目标</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保证景区旅游基础设施安全和景区社区居民以及游客出行和旅游安全、维护群众生命财产安全；2、防止次生灾害扩大，提升洪涝灾害应急应对能力；3、解决了480名职工以及酒店的生产生活用水；4、恢复景区道路，确保“十一黄金周”和“彩林季”旅游旺季前顺利通车。</w:t>
      </w:r>
    </w:p>
    <w:p>
      <w:pPr>
        <w:pageBreakBefore w:val="0"/>
        <w:kinsoku/>
        <w:wordWrap/>
        <w:overflowPunct/>
        <w:topLinePunct w:val="0"/>
        <w:bidi w:val="0"/>
        <w:snapToGrid w:val="0"/>
        <w:spacing w:beforeLines="0" w:afterLines="0" w:line="480" w:lineRule="exact"/>
        <w:ind w:firstLine="640" w:firstLineChars="200"/>
        <w:rPr>
          <w:rFonts w:hint="eastAsia" w:ascii="宋体" w:hAnsi="宋体"/>
          <w:color w:val="000000"/>
          <w:sz w:val="32"/>
          <w:szCs w:val="21"/>
        </w:rPr>
      </w:pPr>
      <w:r>
        <w:rPr>
          <w:rFonts w:hint="eastAsia" w:ascii="黑体" w:eastAsia="黑体" w:cs="黑体"/>
          <w:color w:val="000000"/>
          <w:sz w:val="32"/>
          <w:szCs w:val="21"/>
        </w:rPr>
        <w:t>二、评价工作开展情况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2020年度，我局严格按照阿州财监绩【2021】11号文件要求，选取了景区9.13大型山洪泥石流应急抢险修复工程项目开展绩效自评。重点对项目的资金投入使用情况、组织实施情况、完成情况、绩效目标情况等方面，并以2019年项目支出绩效评价指标体系为标准进行评价。</w:t>
      </w:r>
    </w:p>
    <w:p>
      <w:pPr>
        <w:pageBreakBefore w:val="0"/>
        <w:numPr>
          <w:ilvl w:val="0"/>
          <w:numId w:val="8"/>
        </w:numPr>
        <w:kinsoku/>
        <w:wordWrap/>
        <w:overflowPunct/>
        <w:topLinePunct w:val="0"/>
        <w:bidi w:val="0"/>
        <w:spacing w:beforeLines="0" w:afterLines="0" w:line="480" w:lineRule="exact"/>
        <w:ind w:firstLine="640" w:firstLineChars="200"/>
        <w:rPr>
          <w:rFonts w:hint="eastAsia" w:ascii="黑体" w:eastAsia="黑体"/>
          <w:sz w:val="32"/>
          <w:szCs w:val="21"/>
        </w:rPr>
      </w:pPr>
      <w:r>
        <w:rPr>
          <w:rFonts w:hint="eastAsia" w:ascii="黑体" w:eastAsia="黑体"/>
          <w:sz w:val="32"/>
          <w:szCs w:val="21"/>
        </w:rPr>
        <w:t>综合评价结论（附评分表）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工程设计符合国家相关要求，施工全过程按设计图纸要求及相关规范施工，人员配备齐全、配置合理，安全生产工作落实到位，达到了预期的治理目标和效果。达古冰山景区9.13大型山洪泥石流应急抢险修复工程的实施首先解决了景区原住民生产生活之所急；道路的及时恢复保障了景区的通行，确保了“十一黄金周”和“彩林季”旅游旺季的正常游客接待，对实现景区门票收入、拉动地方经济有着重要的作用；泥石流处经过本项目的抢修，没有再产生次生灾害，同时19年至今已顺利通过两次汛期的考验，提升了该泥石流易发点的应对能力。综上，该项目自评得分95分。</w:t>
      </w:r>
    </w:p>
    <w:p>
      <w:pPr>
        <w:pageBreakBefore w:val="0"/>
        <w:kinsoku/>
        <w:wordWrap/>
        <w:overflowPunct/>
        <w:topLinePunct w:val="0"/>
        <w:bidi w:val="0"/>
        <w:snapToGrid w:val="0"/>
        <w:spacing w:beforeLines="0" w:afterLines="0" w:line="480" w:lineRule="exact"/>
        <w:ind w:firstLine="640" w:firstLineChars="200"/>
        <w:rPr>
          <w:rFonts w:hint="eastAsia" w:ascii="黑体" w:eastAsia="黑体" w:cs="黑体"/>
          <w:sz w:val="32"/>
          <w:szCs w:val="21"/>
        </w:rPr>
      </w:pPr>
      <w:r>
        <w:rPr>
          <w:rFonts w:hint="eastAsia" w:ascii="黑体" w:eastAsia="黑体" w:cs="黑体"/>
          <w:sz w:val="32"/>
          <w:szCs w:val="21"/>
        </w:rPr>
        <w:t>四、绩效评价分析</w:t>
      </w:r>
    </w:p>
    <w:p>
      <w:pPr>
        <w:pageBreakBefore w:val="0"/>
        <w:kinsoku/>
        <w:wordWrap/>
        <w:overflowPunct/>
        <w:topLinePunct w:val="0"/>
        <w:bidi w:val="0"/>
        <w:snapToGrid w:val="0"/>
        <w:spacing w:beforeLines="0" w:afterLines="0" w:line="480" w:lineRule="exact"/>
        <w:ind w:firstLine="643" w:firstLineChars="200"/>
        <w:rPr>
          <w:rFonts w:hint="eastAsia" w:ascii="楷体_GB2312" w:eastAsia="楷体_GB2312"/>
          <w:b/>
          <w:sz w:val="32"/>
          <w:szCs w:val="21"/>
        </w:rPr>
      </w:pPr>
      <w:r>
        <w:rPr>
          <w:rFonts w:hint="eastAsia" w:ascii="楷体_GB2312" w:eastAsia="楷体_GB2312"/>
          <w:b/>
          <w:sz w:val="32"/>
          <w:szCs w:val="21"/>
        </w:rPr>
        <w:t>（一）项目决策情况</w:t>
      </w:r>
    </w:p>
    <w:p>
      <w:pPr>
        <w:pageBreakBefore w:val="0"/>
        <w:kinsoku/>
        <w:wordWrap/>
        <w:overflowPunct/>
        <w:topLinePunct w:val="0"/>
        <w:bidi w:val="0"/>
        <w:adjustRightInd w:val="0"/>
        <w:snapToGrid w:val="0"/>
        <w:spacing w:beforeLines="0" w:afterLines="0" w:line="480" w:lineRule="exact"/>
        <w:ind w:firstLine="720"/>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黑体"/>
          <w:sz w:val="32"/>
          <w:szCs w:val="32"/>
        </w:rPr>
        <w:t>2</w:t>
      </w:r>
      <w:r>
        <w:rPr>
          <w:rFonts w:hint="eastAsia" w:ascii="仿宋" w:eastAsia="仿宋" w:cs="仿宋" w:hAnsiTheme="minorHAnsi"/>
          <w:color w:val="auto"/>
          <w:kern w:val="2"/>
          <w:sz w:val="32"/>
          <w:szCs w:val="32"/>
          <w:shd w:val="solid" w:color="FFFFFF" w:fill="FFFFFF"/>
          <w:lang w:val="en-US" w:eastAsia="zh-CN" w:bidi="ar-SA"/>
        </w:rPr>
        <w:t>019年9月13日凌晨，达古冰川景区二道桥位置发生特大泥石流，致使景区道路、通讯中断，280余名职工生活用水水厂被冲不能使用，4处共计500余米景区公路被冲毁，道路完全中断，景区被迫关闭。同时，泥石流（淤泥）冲入河中，将下游5公里河道严重堵塞，严重威胁景区游客、景区工作人员以及景区旅游基础设施安全。经请示州政府领导同意，我局赓即启动应急抢修即达古冰山景区9.13大型山洪泥石流应急抢险修复工程。</w:t>
      </w:r>
    </w:p>
    <w:p>
      <w:pPr>
        <w:pageBreakBefore w:val="0"/>
        <w:numPr>
          <w:ilvl w:val="0"/>
          <w:numId w:val="9"/>
        </w:numPr>
        <w:kinsoku/>
        <w:wordWrap/>
        <w:overflowPunct/>
        <w:topLinePunct w:val="0"/>
        <w:bidi w:val="0"/>
        <w:snapToGrid w:val="0"/>
        <w:spacing w:beforeLines="0" w:afterLines="0" w:line="480" w:lineRule="exact"/>
        <w:ind w:firstLine="643" w:firstLineChars="200"/>
        <w:rPr>
          <w:rFonts w:hint="eastAsia" w:ascii="楷体_GB2312" w:eastAsia="楷体_GB2312"/>
          <w:b/>
          <w:sz w:val="32"/>
          <w:szCs w:val="21"/>
        </w:rPr>
      </w:pPr>
      <w:r>
        <w:rPr>
          <w:rFonts w:hint="eastAsia" w:ascii="楷体_GB2312" w:eastAsia="楷体_GB2312"/>
          <w:b/>
          <w:sz w:val="32"/>
          <w:szCs w:val="21"/>
        </w:rPr>
        <w:t>项目管理情况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我局规划建设处对本项目进行了全过程监督管理，质量控制良好，未出现重大及以上质量事故；无安全生产事故发生；在项目执行前后，无人员违法违纪情况发生。</w:t>
      </w:r>
    </w:p>
    <w:p>
      <w:pPr>
        <w:pageBreakBefore w:val="0"/>
        <w:kinsoku/>
        <w:wordWrap/>
        <w:overflowPunct/>
        <w:topLinePunct w:val="0"/>
        <w:bidi w:val="0"/>
        <w:snapToGrid w:val="0"/>
        <w:spacing w:beforeLines="0" w:afterLines="0" w:line="480" w:lineRule="exact"/>
        <w:ind w:firstLine="643" w:firstLineChars="200"/>
        <w:rPr>
          <w:rFonts w:hint="eastAsia" w:ascii="楷体_GB2312" w:eastAsia="楷体_GB2312"/>
          <w:b/>
          <w:sz w:val="32"/>
          <w:szCs w:val="21"/>
        </w:rPr>
      </w:pPr>
      <w:r>
        <w:rPr>
          <w:rFonts w:hint="eastAsia" w:ascii="楷体_GB2312" w:eastAsia="楷体_GB2312"/>
          <w:b/>
          <w:sz w:val="32"/>
          <w:szCs w:val="21"/>
        </w:rPr>
        <w:t>（三）项目产出情况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达古冰山景区9.13大型山洪泥石流应急抢险修复工程完成规模及内容：达古冰川景区生活用水水厂维修、挡土墙工程、河道清淤及相关附属工程等。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本项目由黑水县交通局、达古冰川管理局、四川三兴平建设有限公司、中国华西设计建设有限公司、中都工程设计有限公司共同验收通过。</w:t>
      </w:r>
    </w:p>
    <w:p>
      <w:pPr>
        <w:pageBreakBefore w:val="0"/>
        <w:kinsoku/>
        <w:wordWrap/>
        <w:overflowPunct/>
        <w:topLinePunct w:val="0"/>
        <w:bidi w:val="0"/>
        <w:snapToGrid w:val="0"/>
        <w:spacing w:beforeLines="0" w:afterLines="0" w:line="480" w:lineRule="exact"/>
        <w:ind w:firstLine="643" w:firstLineChars="200"/>
        <w:rPr>
          <w:rFonts w:hint="eastAsia" w:ascii="楷体_GB2312" w:eastAsia="楷体_GB2312"/>
          <w:b/>
          <w:sz w:val="32"/>
          <w:szCs w:val="21"/>
        </w:rPr>
      </w:pPr>
      <w:r>
        <w:rPr>
          <w:rFonts w:hint="eastAsia" w:ascii="楷体_GB2312" w:eastAsia="楷体_GB2312"/>
          <w:b/>
          <w:sz w:val="32"/>
          <w:szCs w:val="21"/>
        </w:rPr>
        <w:t>（四）项目效益情况。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1、保证了景区旅游基础设施安全和景区社区居民以及游客出行和旅游安全、切实维护群众生命财产安全；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2、防止次生灾害扩大，提升洪涝灾害应急应对能力；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3、及时解决了480名职工以及酒店的生产生活用水；</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4、及时恢复了景区道路，确保“十一黄金周”和“彩林季”旅游旺季前顺利通车，不但有力的维护了景区旅游形象，而且景区增加了效益。</w:t>
      </w:r>
    </w:p>
    <w:p>
      <w:pPr>
        <w:pageBreakBefore w:val="0"/>
        <w:kinsoku/>
        <w:wordWrap/>
        <w:overflowPunct/>
        <w:topLinePunct w:val="0"/>
        <w:bidi w:val="0"/>
        <w:snapToGrid w:val="0"/>
        <w:spacing w:beforeLines="0" w:afterLines="0" w:line="480" w:lineRule="exact"/>
        <w:ind w:firstLine="640" w:firstLineChars="200"/>
        <w:rPr>
          <w:rFonts w:hint="eastAsia" w:ascii="黑体" w:eastAsia="黑体"/>
          <w:sz w:val="32"/>
          <w:szCs w:val="21"/>
        </w:rPr>
      </w:pPr>
      <w:r>
        <w:rPr>
          <w:rFonts w:hint="eastAsia" w:ascii="黑体" w:eastAsia="黑体"/>
          <w:sz w:val="32"/>
          <w:szCs w:val="21"/>
        </w:rPr>
        <w:t>五、存在主要问题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在项目实施过程中督促施工单位做好过程资料略有不足。</w:t>
      </w:r>
    </w:p>
    <w:p>
      <w:pPr>
        <w:pageBreakBefore w:val="0"/>
        <w:numPr>
          <w:ilvl w:val="0"/>
          <w:numId w:val="10"/>
        </w:numPr>
        <w:kinsoku/>
        <w:wordWrap/>
        <w:overflowPunct/>
        <w:topLinePunct w:val="0"/>
        <w:bidi w:val="0"/>
        <w:snapToGrid w:val="0"/>
        <w:spacing w:beforeLines="0" w:afterLines="0" w:line="480" w:lineRule="exact"/>
        <w:ind w:firstLine="640" w:firstLineChars="200"/>
        <w:rPr>
          <w:rFonts w:hint="eastAsia" w:ascii="黑体" w:eastAsia="黑体"/>
          <w:sz w:val="32"/>
          <w:szCs w:val="21"/>
        </w:rPr>
      </w:pPr>
      <w:r>
        <w:rPr>
          <w:rFonts w:hint="eastAsia" w:ascii="黑体" w:eastAsia="黑体"/>
          <w:sz w:val="32"/>
          <w:szCs w:val="21"/>
        </w:rPr>
        <w:t>相关措施建议</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达古冰川景区属地质灾害易发区和多发区，地质灾害防治任务重、压力大，景区存在多处地质灾害隐患点，为保障景区游客及原住民出行安全，建议考虑安排资金对隐患点进行整治。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p>
    <w:p>
      <w:pPr>
        <w:keepNext w:val="0"/>
        <w:keepLines w:val="0"/>
        <w:pageBreakBefore w:val="0"/>
        <w:widowControl w:val="0"/>
        <w:suppressLineNumbers w:val="0"/>
        <w:kinsoku/>
        <w:wordWrap/>
        <w:overflowPunct/>
        <w:topLinePunct w:val="0"/>
        <w:autoSpaceDE w:val="0"/>
        <w:autoSpaceDN/>
        <w:bidi w:val="0"/>
        <w:snapToGrid w:val="0"/>
        <w:spacing w:before="0" w:beforeAutospacing="0" w:after="0" w:afterAutospacing="0" w:line="480" w:lineRule="exact"/>
        <w:ind w:left="0" w:right="0"/>
        <w:jc w:val="center"/>
        <w:rPr>
          <w:rFonts w:hint="default" w:ascii="方正小标宋简体" w:hAnsi="Times New Roman" w:eastAsia="方正小标宋简体" w:cs="黑体"/>
          <w:b w:val="0"/>
          <w:bCs/>
          <w:kern w:val="2"/>
          <w:sz w:val="36"/>
          <w:szCs w:val="36"/>
        </w:rPr>
      </w:pPr>
      <w:r>
        <w:rPr>
          <w:rFonts w:hint="default" w:ascii="方正小标宋简体" w:hAnsi="方正小标宋简体" w:eastAsia="方正小标宋简体" w:cs="方正小标宋简体"/>
          <w:b w:val="0"/>
          <w:bCs/>
          <w:kern w:val="2"/>
          <w:sz w:val="36"/>
          <w:szCs w:val="36"/>
          <w:lang w:val="en-US" w:eastAsia="zh-CN" w:bidi="ar"/>
        </w:rPr>
        <w:t>景区道路边坡地质灾害治理项目</w:t>
      </w:r>
    </w:p>
    <w:p>
      <w:pPr>
        <w:keepNext w:val="0"/>
        <w:keepLines w:val="0"/>
        <w:pageBreakBefore w:val="0"/>
        <w:widowControl w:val="0"/>
        <w:suppressLineNumbers w:val="0"/>
        <w:kinsoku/>
        <w:wordWrap/>
        <w:overflowPunct/>
        <w:topLinePunct w:val="0"/>
        <w:autoSpaceDE w:val="0"/>
        <w:autoSpaceDN/>
        <w:bidi w:val="0"/>
        <w:snapToGrid w:val="0"/>
        <w:spacing w:before="0" w:beforeAutospacing="0" w:after="0" w:afterAutospacing="0" w:line="480" w:lineRule="exact"/>
        <w:ind w:left="0" w:right="0"/>
        <w:jc w:val="center"/>
        <w:rPr>
          <w:rFonts w:hint="default" w:ascii="方正小标宋简体" w:hAnsi="Times New Roman" w:eastAsia="方正小标宋简体" w:cs="黑体"/>
          <w:kern w:val="2"/>
          <w:sz w:val="36"/>
          <w:szCs w:val="36"/>
        </w:rPr>
      </w:pPr>
      <w:r>
        <w:rPr>
          <w:rFonts w:hint="default" w:ascii="方正小标宋简体" w:hAnsi="方正小标宋简体" w:eastAsia="方正小标宋简体" w:cs="方正小标宋简体"/>
          <w:kern w:val="2"/>
          <w:sz w:val="36"/>
          <w:szCs w:val="36"/>
          <w:lang w:val="en-US" w:eastAsia="zh-CN" w:bidi="ar"/>
        </w:rPr>
        <w:t>支出绩效自评报告</w:t>
      </w:r>
    </w:p>
    <w:p>
      <w:pPr>
        <w:keepNext w:val="0"/>
        <w:keepLines w:val="0"/>
        <w:pageBreakBefore w:val="0"/>
        <w:widowControl w:val="0"/>
        <w:suppressLineNumbers w:val="0"/>
        <w:kinsoku/>
        <w:wordWrap/>
        <w:overflowPunct/>
        <w:topLinePunct w:val="0"/>
        <w:autoSpaceDE w:val="0"/>
        <w:autoSpaceDN/>
        <w:bidi w:val="0"/>
        <w:snapToGrid w:val="0"/>
        <w:spacing w:before="0" w:beforeAutospacing="0" w:after="0" w:afterAutospacing="0" w:line="480" w:lineRule="exact"/>
        <w:ind w:left="0" w:right="0" w:firstLine="640" w:firstLineChars="200"/>
        <w:jc w:val="left"/>
        <w:rPr>
          <w:rFonts w:hint="default" w:ascii="方正小标宋简体" w:hAnsi="Times New Roman" w:eastAsia="方正小标宋简体" w:cs="Times New Roman"/>
          <w:b/>
          <w:bCs w:val="0"/>
          <w:kern w:val="2"/>
          <w:sz w:val="32"/>
          <w:szCs w:val="32"/>
        </w:rPr>
      </w:pPr>
      <w:r>
        <w:rPr>
          <w:rFonts w:hint="default" w:ascii="方正小标宋简体" w:hAnsi="Times New Roman" w:eastAsia="方正小标宋简体" w:cs="Times New Roman"/>
          <w:b/>
          <w:bCs w:val="0"/>
          <w:kern w:val="2"/>
          <w:sz w:val="32"/>
          <w:szCs w:val="32"/>
          <w:lang w:val="en-US" w:eastAsia="zh-CN" w:bidi="ar"/>
        </w:rPr>
        <w:t xml:space="preserve"> </w:t>
      </w:r>
    </w:p>
    <w:p>
      <w:pPr>
        <w:keepNext w:val="0"/>
        <w:keepLines w:val="0"/>
        <w:pageBreakBefore w:val="0"/>
        <w:widowControl w:val="0"/>
        <w:numPr>
          <w:ilvl w:val="0"/>
          <w:numId w:val="11"/>
        </w:numPr>
        <w:suppressLineNumbers w:val="0"/>
        <w:kinsoku/>
        <w:wordWrap/>
        <w:overflowPunct/>
        <w:topLinePunct w:val="0"/>
        <w:autoSpaceDE w:val="0"/>
        <w:autoSpaceDN/>
        <w:bidi w:val="0"/>
        <w:snapToGrid w:val="0"/>
        <w:spacing w:before="0" w:beforeAutospacing="0" w:after="0" w:afterAutospacing="0" w:line="480" w:lineRule="exact"/>
        <w:ind w:left="0" w:right="0" w:firstLine="640" w:firstLineChars="200"/>
        <w:jc w:val="left"/>
        <w:rPr>
          <w:rFonts w:hint="eastAsia" w:ascii="黑体" w:hAnsi="Times New Roman" w:eastAsia="黑体" w:cs="Times New Roman"/>
          <w:kern w:val="2"/>
          <w:sz w:val="32"/>
          <w:szCs w:val="32"/>
        </w:rPr>
      </w:pPr>
      <w:r>
        <w:rPr>
          <w:rFonts w:hint="eastAsia" w:ascii="黑体" w:hAnsi="宋体" w:eastAsia="黑体" w:cs="黑体"/>
          <w:kern w:val="2"/>
          <w:sz w:val="32"/>
          <w:szCs w:val="32"/>
          <w:lang w:val="en-US" w:eastAsia="zh-CN" w:bidi="ar"/>
        </w:rPr>
        <w:t>基本情况</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80" w:lineRule="exact"/>
        <w:ind w:left="0" w:right="0" w:firstLine="643" w:firstLineChars="200"/>
        <w:jc w:val="both"/>
        <w:rPr>
          <w:rFonts w:hint="default" w:ascii="仿宋_GB2312" w:hAnsi="Times New Roman" w:eastAsia="仿宋_GB2312" w:cs="仿宋_GB2312"/>
          <w:b w:val="0"/>
          <w:bCs w:val="0"/>
          <w:kern w:val="2"/>
          <w:sz w:val="32"/>
          <w:szCs w:val="32"/>
        </w:rPr>
      </w:pPr>
      <w:r>
        <w:rPr>
          <w:rFonts w:hint="default" w:ascii="仿宋_GB2312" w:hAnsi="Times New Roman" w:eastAsia="仿宋_GB2312" w:cs="仿宋_GB2312"/>
          <w:b/>
          <w:bCs/>
          <w:kern w:val="2"/>
          <w:sz w:val="32"/>
          <w:szCs w:val="32"/>
          <w:lang w:val="en-US" w:eastAsia="zh-CN" w:bidi="ar"/>
        </w:rPr>
        <w:t>（一）项目概况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default" w:ascii="仿宋" w:eastAsia="仿宋" w:cs="仿宋" w:hAnsiTheme="minorHAnsi"/>
          <w:color w:val="auto"/>
          <w:kern w:val="2"/>
          <w:sz w:val="32"/>
          <w:szCs w:val="32"/>
          <w:shd w:val="solid" w:color="FFFFFF" w:fill="FFFFFF"/>
          <w:lang w:val="en-US" w:eastAsia="zh-CN" w:bidi="ar-SA"/>
        </w:rPr>
      </w:pPr>
      <w:r>
        <w:rPr>
          <w:rFonts w:hint="default" w:ascii="仿宋" w:eastAsia="仿宋" w:cs="仿宋" w:hAnsiTheme="minorHAnsi"/>
          <w:color w:val="auto"/>
          <w:kern w:val="2"/>
          <w:sz w:val="32"/>
          <w:szCs w:val="32"/>
          <w:shd w:val="solid" w:color="FFFFFF" w:fill="FFFFFF"/>
          <w:lang w:val="en-US" w:eastAsia="zh-CN" w:bidi="ar-SA"/>
        </w:rPr>
        <w:t>项目总投资448万元，资金来源：2015年国家重点生态功能区转移支付资金（阿州财预〔2015〕35号）。项目选址意见书经黑水县城乡规划和住房保障局核准（选字第2017003号），用地预审经阿坝州国土资源局局批复（阿州国土资函〔2017〕120号），经阿坝州发展改革委员会（阿州发改行审〔2017〕36号）批复立项，项目编码：2017-513200-50-01-194258。建设规模及内容：新建排水沟砌石圬工3106.68m³、混凝土防滑齿425.99m³、消能池12个、挡土墙片石混凝土圬工463.26m³、混凝土圬工基座377.84m³、被动防护网180 m²、主动防护网1948.64m²，清淤清表及坡面整理15885.27m³，拆除原有挡土墙和排水沟建筑321m³。</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80" w:lineRule="exact"/>
        <w:ind w:left="0" w:right="0" w:firstLine="720"/>
        <w:jc w:val="both"/>
        <w:rPr>
          <w:rFonts w:hint="default" w:ascii="仿宋_GB2312" w:hAnsi="Times New Roman" w:eastAsia="仿宋_GB2312" w:cs="仿宋_GB2312"/>
          <w:b w:val="0"/>
          <w:bCs w:val="0"/>
          <w:kern w:val="2"/>
          <w:sz w:val="32"/>
          <w:szCs w:val="32"/>
        </w:rPr>
      </w:pPr>
      <w:r>
        <w:rPr>
          <w:rFonts w:hint="default" w:ascii="仿宋_GB2312" w:hAnsi="Times New Roman" w:eastAsia="仿宋_GB2312" w:cs="仿宋_GB2312"/>
          <w:b/>
          <w:bCs/>
          <w:kern w:val="2"/>
          <w:sz w:val="32"/>
          <w:szCs w:val="32"/>
          <w:lang w:val="en-US" w:eastAsia="zh-CN" w:bidi="ar"/>
        </w:rPr>
        <w:t>（二）项目实施情况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default" w:ascii="仿宋" w:eastAsia="仿宋" w:cs="仿宋" w:hAnsiTheme="minorHAnsi"/>
          <w:color w:val="auto"/>
          <w:kern w:val="2"/>
          <w:sz w:val="32"/>
          <w:szCs w:val="32"/>
          <w:shd w:val="solid" w:color="FFFFFF" w:fill="FFFFFF"/>
          <w:lang w:val="en-US" w:eastAsia="zh-CN" w:bidi="ar-SA"/>
        </w:rPr>
      </w:pPr>
      <w:r>
        <w:rPr>
          <w:rFonts w:hint="default" w:ascii="仿宋" w:eastAsia="仿宋" w:cs="仿宋" w:hAnsiTheme="minorHAnsi"/>
          <w:color w:val="auto"/>
          <w:kern w:val="2"/>
          <w:sz w:val="32"/>
          <w:szCs w:val="32"/>
          <w:shd w:val="solid" w:color="FFFFFF" w:fill="FFFFFF"/>
          <w:lang w:val="en-US" w:eastAsia="zh-CN" w:bidi="ar-SA"/>
        </w:rPr>
        <w:t>项目建设地址位于达古冰川景区内，主要建设内容为新建排水沟砌石圬工3106.68m³、混凝土防滑齿425.99m³、消能池12个、挡土墙片石混凝土圬工463.26m³、混凝土圬工基座377.84m³、被动防护网180 m²、主动防护网1948.64m²，清淤清表及坡面整理15885.27m³，拆除原有挡土墙和排水沟建筑321m³。项目由金川濠江建筑有限公司</w:t>
      </w:r>
      <w:r>
        <w:rPr>
          <w:rFonts w:hint="eastAsia" w:ascii="仿宋" w:eastAsia="仿宋" w:cs="仿宋" w:hAnsiTheme="minorHAnsi"/>
          <w:color w:val="auto"/>
          <w:kern w:val="2"/>
          <w:sz w:val="32"/>
          <w:szCs w:val="32"/>
          <w:shd w:val="solid" w:color="FFFFFF" w:fill="FFFFFF"/>
          <w:lang w:val="en-US" w:eastAsia="zh-CN" w:bidi="ar-SA"/>
        </w:rPr>
        <w:t>承建，项目承建单位</w:t>
      </w:r>
      <w:r>
        <w:rPr>
          <w:rFonts w:hint="default" w:ascii="仿宋" w:eastAsia="仿宋" w:cs="仿宋" w:hAnsiTheme="minorHAnsi"/>
          <w:color w:val="auto"/>
          <w:kern w:val="2"/>
          <w:sz w:val="32"/>
          <w:szCs w:val="32"/>
          <w:shd w:val="solid" w:color="FFFFFF" w:fill="FFFFFF"/>
          <w:lang w:val="en-US" w:eastAsia="zh-CN" w:bidi="ar-SA"/>
        </w:rPr>
        <w:t>于2017年9月22日进行公开招投标确定；勘察设计单位珠海市交通勘察设计院有限公司于2017年5月1日比选招标确定；监理单位四川康立项目管理有限公司于2017年11月16日比选招标确定。项目于2018年4月9日进场施工至2018年10月19日结束，工期为193天。本项目由州交通局组织进行竣工验收，并于2021年1月28日通过竣工验收（阿州交建〔2021〕52号）。</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80" w:lineRule="exact"/>
        <w:ind w:left="0" w:right="0" w:firstLine="720"/>
        <w:jc w:val="both"/>
        <w:rPr>
          <w:rFonts w:hint="default" w:ascii="仿宋_GB2312" w:hAnsi="Times New Roman" w:eastAsia="仿宋_GB2312" w:cs="仿宋_GB2312"/>
          <w:b/>
          <w:bCs/>
          <w:kern w:val="2"/>
          <w:sz w:val="32"/>
          <w:szCs w:val="32"/>
        </w:rPr>
      </w:pPr>
      <w:r>
        <w:rPr>
          <w:rFonts w:hint="default" w:ascii="仿宋_GB2312" w:hAnsi="Times New Roman" w:eastAsia="仿宋_GB2312" w:cs="仿宋_GB2312"/>
          <w:b/>
          <w:bCs/>
          <w:kern w:val="2"/>
          <w:sz w:val="32"/>
          <w:szCs w:val="32"/>
          <w:lang w:val="en-US" w:eastAsia="zh-CN" w:bidi="ar"/>
        </w:rPr>
        <w:t>（三）资金投入使用情况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default"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截止目前，应支付3777263.00元，已支付3774478.00元，支付率99.93%。其中：</w:t>
      </w:r>
      <w:r>
        <w:rPr>
          <w:rFonts w:hint="default" w:ascii="仿宋" w:eastAsia="仿宋" w:cs="仿宋" w:hAnsiTheme="minorHAnsi"/>
          <w:color w:val="auto"/>
          <w:kern w:val="2"/>
          <w:sz w:val="32"/>
          <w:szCs w:val="32"/>
          <w:shd w:val="solid" w:color="FFFFFF" w:fill="FFFFFF"/>
          <w:lang w:val="en-US" w:eastAsia="zh-CN" w:bidi="ar-SA"/>
        </w:rPr>
        <w:t>工程费</w:t>
      </w:r>
      <w:r>
        <w:rPr>
          <w:rFonts w:hint="eastAsia" w:ascii="仿宋" w:eastAsia="仿宋" w:cs="仿宋" w:hAnsiTheme="minorHAnsi"/>
          <w:color w:val="auto"/>
          <w:kern w:val="2"/>
          <w:sz w:val="32"/>
          <w:szCs w:val="32"/>
          <w:shd w:val="solid" w:color="FFFFFF" w:fill="FFFFFF"/>
          <w:lang w:val="en-US" w:eastAsia="zh-CN" w:bidi="ar-SA"/>
        </w:rPr>
        <w:t>3450519.00</w:t>
      </w:r>
      <w:r>
        <w:rPr>
          <w:rFonts w:hint="default" w:ascii="仿宋" w:eastAsia="仿宋" w:cs="仿宋" w:hAnsiTheme="minorHAnsi"/>
          <w:color w:val="auto"/>
          <w:kern w:val="2"/>
          <w:sz w:val="32"/>
          <w:szCs w:val="32"/>
          <w:shd w:val="solid" w:color="FFFFFF" w:fill="FFFFFF"/>
          <w:lang w:val="en-US" w:eastAsia="zh-CN" w:bidi="ar-SA"/>
        </w:rPr>
        <w:t>元，支付率100%；设计勘察费：195200.00元，支付率100%；监理费：52915.00元，支付率95%（合同约定价为55700.00元，剩余2785.00元已通知该公司办理支付，截止目前该公司尚未申请办理支付）；可研编制费37136.00元，支付率100%；清单编制费15908.00元，支付率100%；图审费6800.00元，支付率100%；质检费16000.00元，支付率100%。项目资金安排合理，并严格按工程进度支付。</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80" w:lineRule="exact"/>
        <w:ind w:left="0" w:right="0" w:firstLine="720"/>
        <w:jc w:val="both"/>
        <w:rPr>
          <w:rFonts w:hint="default" w:ascii="仿宋_GB2312" w:hAnsi="Times New Roman" w:eastAsia="仿宋_GB2312" w:cs="仿宋_GB2312"/>
          <w:b/>
          <w:bCs/>
          <w:kern w:val="2"/>
          <w:sz w:val="32"/>
          <w:szCs w:val="32"/>
        </w:rPr>
      </w:pPr>
      <w:r>
        <w:rPr>
          <w:rFonts w:hint="default" w:ascii="仿宋_GB2312" w:hAnsi="Times New Roman" w:eastAsia="仿宋_GB2312" w:cs="仿宋_GB2312"/>
          <w:b/>
          <w:bCs/>
          <w:kern w:val="2"/>
          <w:sz w:val="32"/>
          <w:szCs w:val="32"/>
          <w:lang w:val="en-US" w:eastAsia="zh-CN" w:bidi="ar"/>
        </w:rPr>
        <w:t>（四）项目绩效目标</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default" w:ascii="仿宋" w:eastAsia="仿宋" w:cs="仿宋" w:hAnsiTheme="minorHAnsi"/>
          <w:color w:val="auto"/>
          <w:kern w:val="2"/>
          <w:sz w:val="32"/>
          <w:szCs w:val="32"/>
          <w:shd w:val="solid" w:color="FFFFFF" w:fill="FFFFFF"/>
          <w:lang w:val="en-US" w:eastAsia="zh-CN" w:bidi="ar-SA"/>
        </w:rPr>
        <w:t>因2015年强暴雨导致公路边坡形成泥石流，强降雨过程造成公路边坡地质松动，常有落石、滑坡等地质灾害发生，严重威胁景区游客生命安全和景区观光车运行安全。本项目实施目的为预防水土流水，保持生态稳定平衡，同时消除安全隐患，保障景区游客及原住民日常通行安全。</w:t>
      </w:r>
    </w:p>
    <w:p>
      <w:pPr>
        <w:keepNext w:val="0"/>
        <w:keepLines w:val="0"/>
        <w:pageBreakBefore w:val="0"/>
        <w:widowControl w:val="0"/>
        <w:suppressLineNumbers w:val="0"/>
        <w:kinsoku/>
        <w:wordWrap/>
        <w:overflowPunct/>
        <w:topLinePunct w:val="0"/>
        <w:autoSpaceDE w:val="0"/>
        <w:autoSpaceDN/>
        <w:bidi w:val="0"/>
        <w:snapToGrid w:val="0"/>
        <w:spacing w:before="0" w:beforeAutospacing="0" w:after="0" w:afterAutospacing="0" w:line="480" w:lineRule="exact"/>
        <w:ind w:left="0" w:right="0" w:firstLine="640" w:firstLineChars="200"/>
        <w:jc w:val="both"/>
        <w:rPr>
          <w:rFonts w:hint="default" w:ascii="宋体" w:hAnsi="宋体" w:eastAsia="仿宋_GB2312" w:cs="Times New Roman"/>
          <w:color w:val="000000"/>
          <w:kern w:val="2"/>
          <w:sz w:val="32"/>
          <w:szCs w:val="32"/>
        </w:rPr>
      </w:pPr>
      <w:r>
        <w:rPr>
          <w:rFonts w:hint="eastAsia" w:ascii="黑体" w:hAnsi="宋体" w:eastAsia="黑体" w:cs="黑体"/>
          <w:color w:val="000000"/>
          <w:kern w:val="2"/>
          <w:sz w:val="32"/>
          <w:szCs w:val="32"/>
          <w:lang w:val="en-US" w:eastAsia="zh-CN" w:bidi="ar"/>
        </w:rPr>
        <w:t>二、评价工作开展情况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default" w:ascii="仿宋" w:eastAsia="仿宋" w:cs="仿宋" w:hAnsiTheme="minorHAnsi"/>
          <w:color w:val="auto"/>
          <w:kern w:val="2"/>
          <w:sz w:val="32"/>
          <w:szCs w:val="32"/>
          <w:shd w:val="solid" w:color="FFFFFF" w:fill="FFFFFF"/>
          <w:lang w:val="en-US" w:eastAsia="zh-CN" w:bidi="ar-SA"/>
        </w:rPr>
      </w:pPr>
      <w:r>
        <w:rPr>
          <w:rFonts w:hint="default" w:ascii="仿宋" w:eastAsia="仿宋" w:cs="仿宋" w:hAnsiTheme="minorHAnsi"/>
          <w:color w:val="auto"/>
          <w:kern w:val="2"/>
          <w:sz w:val="32"/>
          <w:szCs w:val="32"/>
          <w:shd w:val="solid" w:color="FFFFFF" w:fill="FFFFFF"/>
          <w:lang w:val="en-US" w:eastAsia="zh-CN" w:bidi="ar-SA"/>
        </w:rPr>
        <w:t>2020年度，我局严格按照阿州财监绩【2021】11号文件要求，选取了达古冰山景区道路边坡地质灾害治理项目开展绩效自评。重点对项目的资金投入使用情况、组织实施情况、完成情况、绩效目标情况等方面，并以2019年项目支出绩效评价指标体系为标准进行评价。</w:t>
      </w:r>
    </w:p>
    <w:p>
      <w:pPr>
        <w:keepNext w:val="0"/>
        <w:keepLines w:val="0"/>
        <w:pageBreakBefore w:val="0"/>
        <w:widowControl w:val="0"/>
        <w:suppressLineNumbers w:val="0"/>
        <w:kinsoku/>
        <w:wordWrap/>
        <w:overflowPunct/>
        <w:topLinePunct w:val="0"/>
        <w:bidi w:val="0"/>
        <w:spacing w:before="0" w:beforeAutospacing="0" w:after="0" w:afterAutospacing="0" w:line="480" w:lineRule="exact"/>
        <w:ind w:left="0" w:right="0" w:firstLine="640" w:firstLineChars="200"/>
        <w:jc w:val="both"/>
        <w:rPr>
          <w:rFonts w:hint="eastAsia" w:ascii="黑体" w:hAnsi="Times New Roman" w:eastAsia="黑体" w:cs="Times New Roman"/>
          <w:kern w:val="2"/>
          <w:sz w:val="32"/>
          <w:szCs w:val="32"/>
        </w:rPr>
      </w:pPr>
      <w:r>
        <w:rPr>
          <w:rFonts w:hint="eastAsia" w:ascii="黑体" w:hAnsi="宋体" w:eastAsia="黑体" w:cs="黑体"/>
          <w:kern w:val="2"/>
          <w:sz w:val="32"/>
          <w:szCs w:val="32"/>
          <w:lang w:val="en-US" w:eastAsia="zh-CN" w:bidi="ar"/>
        </w:rPr>
        <w:t>三、综合评价结论（附评分表）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default" w:ascii="仿宋" w:eastAsia="仿宋" w:cs="仿宋" w:hAnsiTheme="minorHAnsi"/>
          <w:color w:val="auto"/>
          <w:kern w:val="2"/>
          <w:sz w:val="32"/>
          <w:szCs w:val="32"/>
          <w:shd w:val="solid" w:color="FFFFFF" w:fill="FFFFFF"/>
          <w:lang w:val="en-US" w:eastAsia="zh-CN" w:bidi="ar-SA"/>
        </w:rPr>
        <w:t>工程设计符合国家相关要求，施工全过程按设计图纸要求及相关规范施工，人员配备齐全、配置合理，安全生产工作落实到位，达到了预期的治理目标和效果。达古冰山景区道路边坡地质灾害治理项目完工至今近3年时间，项目实施后各治理点泥石流、落石、山体滑坡治理效果显著，未发生因地质灾害原因影响的道路通行安全事故，极大的提高了景区游客及原住民日常通行安全；本项目除按图施工外还按照局领导班子要求在地质裸露部位积极开展义务绿化，对各治理点位进行本土植物移植移栽，因工程实施后有效的防治了水土流水，各治理点植被恢复效果明显，对三打古自然保护区的生态功能恢复作出了应有的贡献。综上，该项目自评得分95分。</w:t>
      </w:r>
    </w:p>
    <w:p>
      <w:pPr>
        <w:keepNext w:val="0"/>
        <w:keepLines w:val="0"/>
        <w:pageBreakBefore w:val="0"/>
        <w:widowControl w:val="0"/>
        <w:suppressLineNumbers w:val="0"/>
        <w:kinsoku/>
        <w:wordWrap/>
        <w:overflowPunct/>
        <w:topLinePunct w:val="0"/>
        <w:autoSpaceDE w:val="0"/>
        <w:autoSpaceDN/>
        <w:bidi w:val="0"/>
        <w:snapToGrid w:val="0"/>
        <w:spacing w:before="0" w:beforeAutospacing="0" w:after="0" w:afterAutospacing="0" w:line="480" w:lineRule="exact"/>
        <w:ind w:left="0" w:right="0" w:firstLine="640" w:firstLineChars="200"/>
        <w:jc w:val="both"/>
        <w:rPr>
          <w:rFonts w:hint="eastAsia" w:ascii="黑体" w:hAnsi="Times New Roman" w:eastAsia="黑体" w:cs="黑体"/>
          <w:b w:val="0"/>
          <w:bCs/>
          <w:kern w:val="2"/>
          <w:sz w:val="32"/>
          <w:szCs w:val="32"/>
        </w:rPr>
      </w:pPr>
      <w:r>
        <w:rPr>
          <w:rFonts w:hint="eastAsia" w:ascii="黑体" w:hAnsi="宋体" w:eastAsia="黑体" w:cs="黑体"/>
          <w:b w:val="0"/>
          <w:bCs/>
          <w:kern w:val="2"/>
          <w:sz w:val="32"/>
          <w:szCs w:val="32"/>
          <w:lang w:val="en-US" w:eastAsia="zh-CN" w:bidi="ar"/>
        </w:rPr>
        <w:t>四、绩效评价分析</w:t>
      </w:r>
    </w:p>
    <w:p>
      <w:pPr>
        <w:keepNext w:val="0"/>
        <w:keepLines w:val="0"/>
        <w:pageBreakBefore w:val="0"/>
        <w:widowControl w:val="0"/>
        <w:suppressLineNumbers w:val="0"/>
        <w:kinsoku/>
        <w:wordWrap/>
        <w:overflowPunct/>
        <w:topLinePunct w:val="0"/>
        <w:autoSpaceDE w:val="0"/>
        <w:autoSpaceDN/>
        <w:bidi w:val="0"/>
        <w:snapToGrid w:val="0"/>
        <w:spacing w:before="0" w:beforeAutospacing="0" w:after="0" w:afterAutospacing="0" w:line="480" w:lineRule="exact"/>
        <w:ind w:left="0" w:right="0" w:firstLine="643" w:firstLineChars="200"/>
        <w:jc w:val="both"/>
        <w:rPr>
          <w:rFonts w:hint="default" w:ascii="楷体_GB2312" w:hAnsi="Times New Roman" w:eastAsia="楷体_GB2312" w:cs="Times New Roman"/>
          <w:b/>
          <w:bCs w:val="0"/>
          <w:kern w:val="2"/>
          <w:sz w:val="32"/>
          <w:szCs w:val="32"/>
        </w:rPr>
      </w:pPr>
      <w:r>
        <w:rPr>
          <w:rFonts w:hint="default" w:ascii="楷体_GB2312" w:hAnsi="Times New Roman" w:eastAsia="楷体_GB2312" w:cs="楷体_GB2312"/>
          <w:b/>
          <w:bCs w:val="0"/>
          <w:kern w:val="2"/>
          <w:sz w:val="32"/>
          <w:szCs w:val="32"/>
          <w:lang w:val="en-US" w:eastAsia="zh-CN" w:bidi="ar"/>
        </w:rPr>
        <w:t>（一）项目决策情况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default" w:ascii="仿宋" w:eastAsia="仿宋" w:cs="仿宋" w:hAnsiTheme="minorHAnsi"/>
          <w:color w:val="auto"/>
          <w:kern w:val="2"/>
          <w:sz w:val="32"/>
          <w:szCs w:val="32"/>
          <w:shd w:val="solid" w:color="FFFFFF" w:fill="FFFFFF"/>
          <w:lang w:val="en-US" w:eastAsia="zh-CN" w:bidi="ar-SA"/>
        </w:rPr>
      </w:pPr>
      <w:r>
        <w:rPr>
          <w:rFonts w:hint="default" w:ascii="仿宋" w:eastAsia="仿宋" w:cs="仿宋" w:hAnsiTheme="minorHAnsi"/>
          <w:color w:val="auto"/>
          <w:kern w:val="2"/>
          <w:sz w:val="32"/>
          <w:szCs w:val="32"/>
          <w:shd w:val="solid" w:color="FFFFFF" w:fill="FFFFFF"/>
          <w:lang w:val="en-US" w:eastAsia="zh-CN" w:bidi="ar-SA"/>
        </w:rPr>
        <w:t>达古冰川景区公路修建于2003年，并于2005年投入使用，2015年强爆雨导致公路边坡形成泥石流，强降雨过程造成公路边坡地质松动，常有落石、滑坡等地质灾害发生，严重威胁景区游客生命安全和景区观光车运行安全。为消除安全隐患，我局拟对达古冰山景区道路边坡等进行治理。</w:t>
      </w:r>
    </w:p>
    <w:p>
      <w:pPr>
        <w:keepNext w:val="0"/>
        <w:keepLines w:val="0"/>
        <w:pageBreakBefore w:val="0"/>
        <w:widowControl w:val="0"/>
        <w:numPr>
          <w:ilvl w:val="0"/>
          <w:numId w:val="12"/>
        </w:numPr>
        <w:suppressLineNumbers w:val="0"/>
        <w:kinsoku/>
        <w:wordWrap/>
        <w:overflowPunct/>
        <w:topLinePunct w:val="0"/>
        <w:autoSpaceDE w:val="0"/>
        <w:autoSpaceDN/>
        <w:bidi w:val="0"/>
        <w:snapToGrid w:val="0"/>
        <w:spacing w:before="0" w:beforeAutospacing="0" w:after="0" w:afterAutospacing="0" w:line="480" w:lineRule="exact"/>
        <w:ind w:left="0" w:right="0" w:firstLine="643" w:firstLineChars="200"/>
        <w:jc w:val="both"/>
        <w:rPr>
          <w:rFonts w:hint="default" w:ascii="楷体_GB2312" w:hAnsi="Times New Roman" w:eastAsia="楷体_GB2312" w:cs="Times New Roman"/>
          <w:b/>
          <w:bCs w:val="0"/>
          <w:kern w:val="2"/>
          <w:sz w:val="32"/>
          <w:szCs w:val="32"/>
        </w:rPr>
      </w:pPr>
      <w:r>
        <w:rPr>
          <w:rFonts w:hint="default" w:ascii="楷体_GB2312" w:hAnsi="Times New Roman" w:eastAsia="楷体_GB2312" w:cs="楷体_GB2312"/>
          <w:b/>
          <w:bCs w:val="0"/>
          <w:kern w:val="2"/>
          <w:sz w:val="32"/>
          <w:szCs w:val="32"/>
          <w:lang w:val="en-US" w:eastAsia="zh-CN" w:bidi="ar"/>
        </w:rPr>
        <w:t>项目管理情况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default" w:ascii="仿宋" w:eastAsia="仿宋" w:cs="仿宋" w:hAnsiTheme="minorHAnsi"/>
          <w:color w:val="auto"/>
          <w:kern w:val="2"/>
          <w:sz w:val="32"/>
          <w:szCs w:val="32"/>
          <w:shd w:val="solid" w:color="FFFFFF" w:fill="FFFFFF"/>
          <w:lang w:val="en-US" w:eastAsia="zh-CN" w:bidi="ar-SA"/>
        </w:rPr>
      </w:pPr>
      <w:r>
        <w:rPr>
          <w:rFonts w:hint="default" w:ascii="仿宋" w:eastAsia="仿宋" w:cs="仿宋" w:hAnsiTheme="minorHAnsi"/>
          <w:color w:val="auto"/>
          <w:kern w:val="2"/>
          <w:sz w:val="32"/>
          <w:szCs w:val="32"/>
          <w:shd w:val="solid" w:color="FFFFFF" w:fill="FFFFFF"/>
          <w:lang w:val="en-US" w:eastAsia="zh-CN" w:bidi="ar-SA"/>
        </w:rPr>
        <w:t>我局规划建设处对本项目进行了全过程监督管理，质量控制良好，未出现重大及以上质量事故；无安全生产事故发生；在项目执行前后，无人员违法违纪情况发生。</w:t>
      </w:r>
    </w:p>
    <w:p>
      <w:pPr>
        <w:keepNext w:val="0"/>
        <w:keepLines w:val="0"/>
        <w:pageBreakBefore w:val="0"/>
        <w:widowControl w:val="0"/>
        <w:suppressLineNumbers w:val="0"/>
        <w:kinsoku/>
        <w:wordWrap/>
        <w:overflowPunct/>
        <w:topLinePunct w:val="0"/>
        <w:autoSpaceDE w:val="0"/>
        <w:autoSpaceDN/>
        <w:bidi w:val="0"/>
        <w:snapToGrid w:val="0"/>
        <w:spacing w:before="0" w:beforeAutospacing="0" w:after="0" w:afterAutospacing="0" w:line="480" w:lineRule="exact"/>
        <w:ind w:left="0" w:right="0" w:firstLine="643" w:firstLineChars="200"/>
        <w:jc w:val="both"/>
        <w:rPr>
          <w:rFonts w:hint="default" w:ascii="楷体_GB2312" w:hAnsi="Times New Roman" w:eastAsia="楷体_GB2312" w:cs="Times New Roman"/>
          <w:b/>
          <w:bCs w:val="0"/>
          <w:kern w:val="2"/>
          <w:sz w:val="32"/>
          <w:szCs w:val="32"/>
        </w:rPr>
      </w:pPr>
      <w:r>
        <w:rPr>
          <w:rFonts w:hint="default" w:ascii="楷体_GB2312" w:hAnsi="Times New Roman" w:eastAsia="楷体_GB2312" w:cs="楷体_GB2312"/>
          <w:b/>
          <w:bCs w:val="0"/>
          <w:kern w:val="2"/>
          <w:sz w:val="32"/>
          <w:szCs w:val="32"/>
          <w:lang w:val="en-US" w:eastAsia="zh-CN" w:bidi="ar"/>
        </w:rPr>
        <w:t>（三）项目产出情况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default" w:ascii="仿宋" w:eastAsia="仿宋" w:cs="仿宋" w:hAnsiTheme="minorHAnsi"/>
          <w:color w:val="auto"/>
          <w:kern w:val="2"/>
          <w:sz w:val="32"/>
          <w:szCs w:val="32"/>
          <w:shd w:val="solid" w:color="FFFFFF" w:fill="FFFFFF"/>
          <w:lang w:val="en-US" w:eastAsia="zh-CN" w:bidi="ar-SA"/>
        </w:rPr>
      </w:pPr>
      <w:r>
        <w:rPr>
          <w:rFonts w:hint="default" w:ascii="仿宋" w:eastAsia="仿宋" w:cs="仿宋" w:hAnsiTheme="minorHAnsi"/>
          <w:color w:val="auto"/>
          <w:kern w:val="2"/>
          <w:sz w:val="32"/>
          <w:szCs w:val="32"/>
          <w:shd w:val="solid" w:color="FFFFFF" w:fill="FFFFFF"/>
          <w:lang w:val="en-US" w:eastAsia="zh-CN" w:bidi="ar-SA"/>
        </w:rPr>
        <w:t>达古冰山景区道路边坡地质灾害治理项目完成规模及内容：新建排水沟砌石圬工3106.68m³、混凝土防滑齿425.99m³、消能池12个、挡土墙片石混凝土圬工463.26m³、混凝土圬工基座377.84m³、被动防护网180 m²、主动防护网1948.64m²，清淤清表及坡面整理15885.27m³，拆除原有挡土墙和排水沟建筑321m³。</w:t>
      </w:r>
    </w:p>
    <w:p>
      <w:pPr>
        <w:keepNext w:val="0"/>
        <w:keepLines w:val="0"/>
        <w:pageBreakBefore w:val="0"/>
        <w:widowControl w:val="0"/>
        <w:suppressLineNumbers w:val="0"/>
        <w:kinsoku/>
        <w:wordWrap/>
        <w:overflowPunct/>
        <w:topLinePunct w:val="0"/>
        <w:autoSpaceDE w:val="0"/>
        <w:autoSpaceDN/>
        <w:bidi w:val="0"/>
        <w:snapToGrid w:val="0"/>
        <w:spacing w:before="0" w:beforeAutospacing="0" w:after="0" w:afterAutospacing="0" w:line="480" w:lineRule="exact"/>
        <w:ind w:left="0" w:right="0" w:firstLine="643" w:firstLineChars="200"/>
        <w:jc w:val="both"/>
        <w:rPr>
          <w:rFonts w:hint="default" w:ascii="楷体_GB2312" w:hAnsi="Times New Roman" w:eastAsia="楷体_GB2312" w:cs="Times New Roman"/>
          <w:b/>
          <w:bCs w:val="0"/>
          <w:kern w:val="2"/>
          <w:sz w:val="32"/>
          <w:szCs w:val="32"/>
        </w:rPr>
      </w:pPr>
      <w:r>
        <w:rPr>
          <w:rFonts w:hint="default" w:ascii="楷体_GB2312" w:hAnsi="Times New Roman" w:eastAsia="楷体_GB2312" w:cs="楷体_GB2312"/>
          <w:b/>
          <w:bCs w:val="0"/>
          <w:kern w:val="2"/>
          <w:sz w:val="32"/>
          <w:szCs w:val="32"/>
          <w:lang w:val="en-US" w:eastAsia="zh-CN" w:bidi="ar"/>
        </w:rPr>
        <w:t>（四）项目效益情况。</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80" w:lineRule="exact"/>
        <w:ind w:left="0" w:right="0" w:firstLine="640" w:firstLineChars="200"/>
        <w:jc w:val="both"/>
        <w:rPr>
          <w:rFonts w:hint="default" w:ascii="仿宋_GB2312" w:hAnsi="Times New Roman" w:eastAsia="仿宋_GB2312" w:cs="仿宋_GB2312"/>
          <w:kern w:val="2"/>
          <w:sz w:val="32"/>
          <w:szCs w:val="32"/>
        </w:rPr>
      </w:pPr>
      <w:r>
        <w:rPr>
          <w:rFonts w:hint="default" w:ascii="仿宋" w:eastAsia="仿宋" w:cs="仿宋" w:hAnsiTheme="minorHAnsi"/>
          <w:color w:val="auto"/>
          <w:kern w:val="2"/>
          <w:sz w:val="32"/>
          <w:szCs w:val="32"/>
          <w:shd w:val="solid" w:color="FFFFFF" w:fill="FFFFFF"/>
          <w:lang w:val="en-US" w:eastAsia="zh-CN" w:bidi="ar-SA"/>
        </w:rPr>
        <w:t>达古冰山景区道路边坡地质灾害治理项目完工至今近3年时间，项目实施后各治理点泥石流、落石、山体滑坡治理效果显著，未发生因地质灾害原因影响的道路通行安全事故，极大的提高了景区游客及原住民日常通行安全；同时，各治理点植被恢复效果明显。</w:t>
      </w:r>
    </w:p>
    <w:p>
      <w:pPr>
        <w:keepNext w:val="0"/>
        <w:keepLines w:val="0"/>
        <w:pageBreakBefore w:val="0"/>
        <w:widowControl w:val="0"/>
        <w:suppressLineNumbers w:val="0"/>
        <w:kinsoku/>
        <w:wordWrap/>
        <w:overflowPunct/>
        <w:topLinePunct w:val="0"/>
        <w:autoSpaceDE w:val="0"/>
        <w:autoSpaceDN/>
        <w:bidi w:val="0"/>
        <w:snapToGrid w:val="0"/>
        <w:spacing w:before="0" w:beforeAutospacing="0" w:after="0" w:afterAutospacing="0" w:line="480" w:lineRule="exact"/>
        <w:ind w:left="0" w:right="0" w:firstLine="640" w:firstLineChars="200"/>
        <w:jc w:val="both"/>
        <w:rPr>
          <w:rFonts w:hint="eastAsia" w:ascii="黑体" w:hAnsi="Times New Roman" w:eastAsia="黑体" w:cs="Times New Roman"/>
          <w:kern w:val="2"/>
          <w:sz w:val="32"/>
          <w:szCs w:val="32"/>
        </w:rPr>
      </w:pPr>
      <w:r>
        <w:rPr>
          <w:rFonts w:hint="eastAsia" w:ascii="黑体" w:hAnsi="宋体" w:eastAsia="黑体" w:cs="黑体"/>
          <w:kern w:val="2"/>
          <w:sz w:val="32"/>
          <w:szCs w:val="32"/>
          <w:lang w:val="en-US" w:eastAsia="zh-CN" w:bidi="ar"/>
        </w:rPr>
        <w:t>五、存在主要问题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default" w:ascii="仿宋" w:eastAsia="仿宋" w:cs="仿宋" w:hAnsiTheme="minorHAnsi"/>
          <w:color w:val="auto"/>
          <w:kern w:val="2"/>
          <w:sz w:val="32"/>
          <w:szCs w:val="32"/>
          <w:shd w:val="solid" w:color="FFFFFF" w:fill="FFFFFF"/>
          <w:lang w:val="en-US" w:eastAsia="zh-CN" w:bidi="ar-SA"/>
        </w:rPr>
      </w:pPr>
      <w:r>
        <w:rPr>
          <w:rFonts w:hint="default" w:ascii="仿宋" w:eastAsia="仿宋" w:cs="仿宋" w:hAnsiTheme="minorHAnsi"/>
          <w:color w:val="auto"/>
          <w:kern w:val="2"/>
          <w:sz w:val="32"/>
          <w:szCs w:val="32"/>
          <w:shd w:val="solid" w:color="FFFFFF" w:fill="FFFFFF"/>
          <w:lang w:val="en-US" w:eastAsia="zh-CN" w:bidi="ar-SA"/>
        </w:rPr>
        <w:t>在项目实施过程中督促施工单位做好过程资料略有不足。</w:t>
      </w:r>
    </w:p>
    <w:p>
      <w:pPr>
        <w:keepNext w:val="0"/>
        <w:keepLines w:val="0"/>
        <w:pageBreakBefore w:val="0"/>
        <w:widowControl w:val="0"/>
        <w:numPr>
          <w:ilvl w:val="0"/>
          <w:numId w:val="13"/>
        </w:numPr>
        <w:suppressLineNumbers w:val="0"/>
        <w:kinsoku/>
        <w:wordWrap/>
        <w:overflowPunct/>
        <w:topLinePunct w:val="0"/>
        <w:autoSpaceDE w:val="0"/>
        <w:autoSpaceDN/>
        <w:bidi w:val="0"/>
        <w:snapToGrid w:val="0"/>
        <w:spacing w:before="0" w:beforeAutospacing="0" w:after="0" w:afterAutospacing="0" w:line="480" w:lineRule="exact"/>
        <w:ind w:left="0" w:right="0" w:firstLine="640" w:firstLineChars="200"/>
        <w:jc w:val="both"/>
        <w:rPr>
          <w:rFonts w:hint="eastAsia" w:ascii="黑体" w:hAnsi="Times New Roman" w:eastAsia="黑体" w:cs="Times New Roman"/>
          <w:kern w:val="2"/>
          <w:sz w:val="32"/>
          <w:szCs w:val="32"/>
        </w:rPr>
      </w:pPr>
      <w:r>
        <w:rPr>
          <w:rFonts w:hint="eastAsia" w:ascii="黑体" w:hAnsi="宋体" w:eastAsia="黑体" w:cs="黑体"/>
          <w:kern w:val="2"/>
          <w:sz w:val="32"/>
          <w:szCs w:val="32"/>
          <w:lang w:val="en-US" w:eastAsia="zh-CN" w:bidi="ar"/>
        </w:rPr>
        <w:t>相关措施建议</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方正小标宋简体" w:eastAsia="方正小标宋简体" w:cs="黑体"/>
          <w:sz w:val="36"/>
          <w:szCs w:val="36"/>
        </w:rPr>
      </w:pPr>
      <w:r>
        <w:rPr>
          <w:rFonts w:hint="default" w:ascii="仿宋" w:eastAsia="仿宋" w:cs="仿宋" w:hAnsiTheme="minorHAnsi"/>
          <w:color w:val="auto"/>
          <w:kern w:val="2"/>
          <w:sz w:val="32"/>
          <w:szCs w:val="32"/>
          <w:shd w:val="solid" w:color="FFFFFF" w:fill="FFFFFF"/>
          <w:lang w:val="en-US" w:eastAsia="zh-CN" w:bidi="ar-SA"/>
        </w:rPr>
        <w:t>达古冰川景区历经“5.12汶川大地震”、“九寨沟8.8地震”，山体松垮，地质灾害隐患点较多、危害较大，建议落实资金对隐患点进行整治，切实保护生态平衡，保障景区游客及原住民生产生活安全。</w:t>
      </w:r>
    </w:p>
    <w:p>
      <w:pPr>
        <w:pageBreakBefore w:val="0"/>
        <w:tabs>
          <w:tab w:val="left" w:pos="3885"/>
        </w:tabs>
        <w:kinsoku/>
        <w:wordWrap/>
        <w:overflowPunct/>
        <w:topLinePunct w:val="0"/>
        <w:bidi w:val="0"/>
        <w:snapToGrid w:val="0"/>
        <w:spacing w:beforeLines="0" w:afterLines="0" w:line="480" w:lineRule="exact"/>
        <w:jc w:val="center"/>
        <w:rPr>
          <w:rFonts w:hint="eastAsia" w:ascii="方正小标宋简体" w:eastAsia="方正小标宋简体" w:cs="黑体"/>
          <w:sz w:val="36"/>
          <w:szCs w:val="36"/>
        </w:rPr>
      </w:pPr>
      <w:r>
        <w:rPr>
          <w:rFonts w:hint="eastAsia" w:ascii="方正小标宋简体" w:eastAsia="方正小标宋简体" w:cs="黑体"/>
          <w:sz w:val="36"/>
          <w:szCs w:val="36"/>
        </w:rPr>
        <w:t>景区罗毕牧场河道防洪治涝生态修复</w:t>
      </w:r>
    </w:p>
    <w:p>
      <w:pPr>
        <w:pageBreakBefore w:val="0"/>
        <w:tabs>
          <w:tab w:val="left" w:pos="3885"/>
        </w:tabs>
        <w:kinsoku/>
        <w:wordWrap/>
        <w:overflowPunct/>
        <w:topLinePunct w:val="0"/>
        <w:bidi w:val="0"/>
        <w:snapToGrid w:val="0"/>
        <w:spacing w:beforeLines="0" w:afterLines="0" w:line="480" w:lineRule="exact"/>
        <w:jc w:val="center"/>
        <w:rPr>
          <w:rFonts w:hint="eastAsia" w:ascii="方正小标宋简体" w:eastAsia="方正小标宋简体" w:cs="黑体"/>
          <w:sz w:val="36"/>
          <w:szCs w:val="36"/>
        </w:rPr>
      </w:pPr>
      <w:r>
        <w:rPr>
          <w:rFonts w:hint="eastAsia" w:ascii="方正小标宋简体" w:eastAsia="方正小标宋简体" w:cs="黑体"/>
          <w:sz w:val="36"/>
          <w:szCs w:val="36"/>
        </w:rPr>
        <w:t>工程项目支出绩效自评报告</w:t>
      </w:r>
    </w:p>
    <w:p>
      <w:pPr>
        <w:pageBreakBefore w:val="0"/>
        <w:kinsoku/>
        <w:wordWrap/>
        <w:overflowPunct/>
        <w:topLinePunct w:val="0"/>
        <w:bidi w:val="0"/>
        <w:spacing w:beforeLines="0" w:afterLines="0" w:line="480" w:lineRule="exact"/>
        <w:rPr>
          <w:rFonts w:hint="eastAsia" w:ascii="宋体" w:hAnsi="宋体" w:eastAsia="宋体"/>
          <w:b/>
          <w:sz w:val="32"/>
          <w:szCs w:val="32"/>
        </w:rPr>
      </w:pPr>
    </w:p>
    <w:p>
      <w:pPr>
        <w:pageBreakBefore w:val="0"/>
        <w:numPr>
          <w:ilvl w:val="0"/>
          <w:numId w:val="8"/>
        </w:numPr>
        <w:tabs>
          <w:tab w:val="left" w:pos="3885"/>
        </w:tabs>
        <w:kinsoku/>
        <w:wordWrap/>
        <w:overflowPunct/>
        <w:topLinePunct w:val="0"/>
        <w:bidi w:val="0"/>
        <w:snapToGrid w:val="0"/>
        <w:spacing w:beforeLines="0" w:afterLines="0" w:line="480" w:lineRule="exact"/>
        <w:ind w:firstLine="640" w:firstLineChars="200"/>
        <w:jc w:val="left"/>
        <w:rPr>
          <w:rFonts w:hint="eastAsia" w:ascii="黑体" w:eastAsia="黑体" w:cs="仿宋_GB2312"/>
          <w:sz w:val="32"/>
          <w:szCs w:val="32"/>
        </w:rPr>
      </w:pPr>
      <w:r>
        <w:rPr>
          <w:rFonts w:hint="eastAsia" w:ascii="黑体" w:eastAsia="黑体" w:cs="仿宋_GB2312"/>
          <w:sz w:val="32"/>
          <w:szCs w:val="32"/>
        </w:rPr>
        <w:t>基本情况</w:t>
      </w:r>
    </w:p>
    <w:p>
      <w:pPr>
        <w:pageBreakBefore w:val="0"/>
        <w:kinsoku/>
        <w:wordWrap/>
        <w:overflowPunct/>
        <w:topLinePunct w:val="0"/>
        <w:bidi w:val="0"/>
        <w:adjustRightInd w:val="0"/>
        <w:snapToGrid w:val="0"/>
        <w:spacing w:beforeLines="0" w:afterLines="0" w:line="480" w:lineRule="exact"/>
        <w:ind w:firstLine="643" w:firstLineChars="200"/>
        <w:rPr>
          <w:rFonts w:hint="eastAsia" w:ascii="楷体_GB2312" w:eastAsia="楷体_GB2312" w:cs="仿宋_GB2312"/>
          <w:sz w:val="32"/>
          <w:szCs w:val="32"/>
        </w:rPr>
      </w:pPr>
      <w:r>
        <w:rPr>
          <w:rFonts w:hint="eastAsia" w:ascii="楷体_GB2312" w:eastAsia="楷体_GB2312" w:cs="仿宋_GB2312"/>
          <w:b/>
          <w:sz w:val="32"/>
          <w:szCs w:val="32"/>
        </w:rPr>
        <w:t>（一）项目概况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达古冰山景区罗毕牧场河道防洪治涝生态修复工程总投资172万元，资金来源为：2013年国家重点生态功能区转移支付资金（第二批）和2013年提前通知部分国家重点生态功区转移支付资金的结余资金（阿州财非函〔2018〕3号）。建设规模及内容：1、红柳滩娜姆沟右叉沟前段原河道清淤，清淤深度0.5m，宽度2.0m，清淤河道长139.86m；右叉沟后段入汇段229.60m长的河岸削坡整形；红柳滩河底清表除杂15cm厚，清表面积3500㎡；新建浆砌石拦河堰2座；维护整治河道内岛礁3座；2、娜姆河湖区河滩地清淤300㎡；拦河堰整修一处。</w:t>
      </w:r>
    </w:p>
    <w:p>
      <w:pPr>
        <w:pageBreakBefore w:val="0"/>
        <w:kinsoku/>
        <w:wordWrap/>
        <w:overflowPunct/>
        <w:topLinePunct w:val="0"/>
        <w:bidi w:val="0"/>
        <w:adjustRightInd w:val="0"/>
        <w:snapToGrid w:val="0"/>
        <w:spacing w:beforeLines="0" w:afterLines="0" w:line="480" w:lineRule="exact"/>
        <w:ind w:firstLine="720"/>
        <w:rPr>
          <w:rFonts w:hint="eastAsia" w:ascii="楷体_GB2312" w:eastAsia="楷体_GB2312" w:cs="仿宋_GB2312"/>
          <w:sz w:val="32"/>
          <w:szCs w:val="32"/>
        </w:rPr>
      </w:pPr>
      <w:r>
        <w:rPr>
          <w:rFonts w:hint="eastAsia" w:ascii="楷体_GB2312" w:eastAsia="楷体_GB2312" w:cs="仿宋_GB2312"/>
          <w:b/>
          <w:sz w:val="32"/>
          <w:szCs w:val="32"/>
        </w:rPr>
        <w:t>（二）项目实施情况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项目建设地址位于达古冰川景区内，该项目由四川飞迪建筑有限公司承建，项目通过开展行洪论证与河势稳定评价、水生生物影响评价、环境影响评价报告表、对三打古自然保护区的影响评价报告等前期工作后，于2020年4月28日开工，于2020年6月22日竣工。项目由黑水县水利局、达古冰川管理局、四川亿丰建设工程管理有限公司、四川飞迪建筑有限公司、中山市水利水电勘测设计咨询有限公司共同验收通过。</w:t>
      </w:r>
    </w:p>
    <w:p>
      <w:pPr>
        <w:pageBreakBefore w:val="0"/>
        <w:kinsoku/>
        <w:wordWrap/>
        <w:overflowPunct/>
        <w:topLinePunct w:val="0"/>
        <w:bidi w:val="0"/>
        <w:adjustRightInd w:val="0"/>
        <w:snapToGrid w:val="0"/>
        <w:spacing w:beforeLines="0" w:afterLines="0" w:line="480" w:lineRule="exact"/>
        <w:ind w:firstLine="720"/>
        <w:rPr>
          <w:rFonts w:hint="eastAsia" w:ascii="楷体_GB2312" w:eastAsia="楷体_GB2312" w:cs="仿宋_GB2312"/>
          <w:b/>
          <w:sz w:val="32"/>
          <w:szCs w:val="32"/>
        </w:rPr>
      </w:pPr>
      <w:r>
        <w:rPr>
          <w:rFonts w:hint="eastAsia" w:ascii="楷体_GB2312" w:eastAsia="楷体_GB2312" w:cs="仿宋_GB2312"/>
          <w:b/>
          <w:sz w:val="32"/>
          <w:szCs w:val="32"/>
        </w:rPr>
        <w:t>（三）资金投入使用情况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截止目前，应支付1698612.75元，已支付1,666,419.37元，支付率98.1%。其中：工程费1040919.37元，支付率95%（剩余32193.38质保金未支付）；行洪论证与河势稳定评价报告编制费：86000.00元，支付率100%；水生生物影响评价报告专题费：80000.00，支付率100%；影响评价编制费284000.00元，支付率100%；环评编制费90500.00元，支付率100%；监理、清单费38000.00元，支付率100%；可研及设计费47000.00元，支付率100%。项目资金安排合理，并严格按工程进度支付。</w:t>
      </w:r>
    </w:p>
    <w:p>
      <w:pPr>
        <w:pageBreakBefore w:val="0"/>
        <w:kinsoku/>
        <w:wordWrap/>
        <w:overflowPunct/>
        <w:topLinePunct w:val="0"/>
        <w:bidi w:val="0"/>
        <w:adjustRightInd w:val="0"/>
        <w:snapToGrid w:val="0"/>
        <w:spacing w:beforeLines="0" w:afterLines="0" w:line="480" w:lineRule="exact"/>
        <w:ind w:firstLine="720"/>
        <w:rPr>
          <w:rFonts w:hint="eastAsia" w:ascii="楷体_GB2312" w:eastAsia="楷体_GB2312" w:cs="仿宋_GB2312"/>
          <w:b/>
          <w:sz w:val="32"/>
          <w:szCs w:val="32"/>
        </w:rPr>
      </w:pPr>
      <w:r>
        <w:rPr>
          <w:rFonts w:hint="eastAsia" w:ascii="楷体_GB2312" w:eastAsia="楷体_GB2312" w:cs="仿宋_GB2312"/>
          <w:b/>
          <w:sz w:val="32"/>
          <w:szCs w:val="32"/>
        </w:rPr>
        <w:t>（四）项目绩效目标</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缓解达古冰川景区娜姆湖处河道堵塞情况，预防治理罗毕牧场河道河岸两侧植被、水土流水。</w:t>
      </w:r>
    </w:p>
    <w:p>
      <w:pPr>
        <w:pageBreakBefore w:val="0"/>
        <w:kinsoku/>
        <w:wordWrap/>
        <w:overflowPunct/>
        <w:topLinePunct w:val="0"/>
        <w:bidi w:val="0"/>
        <w:snapToGrid w:val="0"/>
        <w:spacing w:beforeLines="0" w:afterLines="0" w:line="480" w:lineRule="exact"/>
        <w:ind w:firstLine="640" w:firstLineChars="200"/>
        <w:rPr>
          <w:rFonts w:hint="eastAsia" w:ascii="黑体" w:eastAsia="黑体" w:cs="仿宋_GB2312"/>
          <w:color w:val="auto"/>
          <w:sz w:val="32"/>
          <w:szCs w:val="32"/>
        </w:rPr>
      </w:pPr>
      <w:r>
        <w:rPr>
          <w:rFonts w:hint="eastAsia" w:ascii="黑体" w:eastAsia="黑体" w:cs="仿宋_GB2312"/>
          <w:color w:val="auto"/>
          <w:sz w:val="32"/>
          <w:szCs w:val="32"/>
        </w:rPr>
        <w:t>二、评价工作开展情况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2020年度，我局严格按照阿州财监绩【2021】11号文件要求，选取了达古冰山景区罗毕牧场河道防洪治涝生态修复工程开展绩效自评。重点对项目的资金投入使用情况、组织实施情况、完成情况、绩效目标情况等方面，并以2019年项目支出绩效评价指标体系为标准进行评价。</w:t>
      </w:r>
    </w:p>
    <w:p>
      <w:pPr>
        <w:pageBreakBefore w:val="0"/>
        <w:kinsoku/>
        <w:wordWrap/>
        <w:overflowPunct/>
        <w:topLinePunct w:val="0"/>
        <w:bidi w:val="0"/>
        <w:spacing w:beforeLines="0" w:afterLines="0" w:line="480" w:lineRule="exact"/>
        <w:ind w:left="420" w:leftChars="200"/>
        <w:rPr>
          <w:rFonts w:hint="eastAsia" w:ascii="黑体" w:eastAsia="黑体" w:cs="仿宋_GB2312"/>
          <w:sz w:val="32"/>
          <w:szCs w:val="32"/>
        </w:rPr>
      </w:pPr>
      <w:r>
        <w:rPr>
          <w:rFonts w:hint="eastAsia" w:ascii="黑体" w:eastAsia="黑体" w:cs="仿宋_GB2312"/>
          <w:sz w:val="32"/>
          <w:szCs w:val="32"/>
        </w:rPr>
        <w:t>三、综合评价结论（附评分表）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工程设计符合国家相关要求，施工全过程按设计图纸要求及相关规范施工，人员配备齐全、配置合理，安全生产工作落实到位，达到了预期的治理目标和效果。达古冰山景区罗毕牧场河道防洪治涝生态修复工程项目的实施立足减低达古冰川景区罗毕牧场河道汛期压力，治理水土流水，项目的实施从根本上解决了罗毕牧场河道多年以来的洪涝问题，在项目实施过程中也对此处河岸两侧因洪涝损毁的植被进行了恢复，践行了习近平总书记提出的“绿水青山就是金山银山”的理念；同时对河道整治后，拦河堰形成了新的湖泊，又为达古冰川景区增添了一处水文景观，提升了景区质量，为达古冰川景区的高速发展再添基石</w:t>
      </w:r>
      <w:r>
        <w:rPr>
          <w:rFonts w:hint="eastAsia" w:ascii="仿宋" w:eastAsia="仿宋" w:cs="仿宋" w:hAnsiTheme="minorHAnsi"/>
          <w:color w:val="auto"/>
          <w:kern w:val="2"/>
          <w:sz w:val="32"/>
          <w:szCs w:val="32"/>
          <w:shd w:val="solid" w:color="FFFFFF" w:fill="FFFFFF"/>
          <w:lang w:val="zh-CN" w:eastAsia="zh-CN" w:bidi="ar-SA"/>
        </w:rPr>
        <w:t>。</w:t>
      </w:r>
      <w:r>
        <w:rPr>
          <w:rFonts w:hint="eastAsia" w:ascii="仿宋" w:eastAsia="仿宋" w:cs="仿宋" w:hAnsiTheme="minorHAnsi"/>
          <w:color w:val="auto"/>
          <w:kern w:val="2"/>
          <w:sz w:val="32"/>
          <w:szCs w:val="32"/>
          <w:shd w:val="solid" w:color="FFFFFF" w:fill="FFFFFF"/>
          <w:lang w:val="en-US" w:eastAsia="zh-CN" w:bidi="ar-SA"/>
        </w:rPr>
        <w:t>综上，该项目自评得分95分。</w:t>
      </w:r>
    </w:p>
    <w:p>
      <w:pPr>
        <w:pageBreakBefore w:val="0"/>
        <w:kinsoku/>
        <w:wordWrap/>
        <w:overflowPunct/>
        <w:topLinePunct w:val="0"/>
        <w:bidi w:val="0"/>
        <w:snapToGrid w:val="0"/>
        <w:spacing w:beforeLines="0" w:afterLines="0" w:line="480" w:lineRule="exact"/>
        <w:ind w:firstLine="640" w:firstLineChars="200"/>
        <w:rPr>
          <w:rFonts w:hint="eastAsia" w:ascii="黑体" w:eastAsia="黑体" w:cs="仿宋_GB2312"/>
          <w:sz w:val="32"/>
          <w:szCs w:val="32"/>
        </w:rPr>
      </w:pPr>
      <w:r>
        <w:rPr>
          <w:rFonts w:hint="eastAsia" w:ascii="黑体" w:eastAsia="黑体" w:cs="仿宋_GB2312"/>
          <w:sz w:val="32"/>
          <w:szCs w:val="32"/>
        </w:rPr>
        <w:t>四、绩效评价分析</w:t>
      </w:r>
    </w:p>
    <w:p>
      <w:pPr>
        <w:pageBreakBefore w:val="0"/>
        <w:kinsoku/>
        <w:wordWrap/>
        <w:overflowPunct/>
        <w:topLinePunct w:val="0"/>
        <w:bidi w:val="0"/>
        <w:snapToGrid w:val="0"/>
        <w:spacing w:beforeLines="0" w:afterLines="0" w:line="480" w:lineRule="exact"/>
        <w:ind w:firstLine="643" w:firstLineChars="200"/>
        <w:rPr>
          <w:rFonts w:hint="eastAsia" w:ascii="楷体_GB2312" w:eastAsia="楷体_GB2312" w:cs="仿宋_GB2312"/>
          <w:b/>
          <w:sz w:val="32"/>
          <w:szCs w:val="32"/>
        </w:rPr>
      </w:pPr>
      <w:r>
        <w:rPr>
          <w:rFonts w:hint="eastAsia" w:ascii="楷体_GB2312" w:eastAsia="楷体_GB2312" w:cs="仿宋_GB2312"/>
          <w:b/>
          <w:sz w:val="32"/>
          <w:szCs w:val="32"/>
        </w:rPr>
        <w:t>（一）项目决策情况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达古冰山景区罗毕牧场河道防洪治涝生态修复工程于2017年12月7日通过阿坝州发改委立项批复（阿州发改行审〔2017〕78号），后因实施达古冰山景区罗毕牧场河道防洪治涝生态修复工程按照州、县生态环境局要求需编制环评报告表，完成环评报告表前置要件还需编制行洪论证及河势稳定报告、水土保持方案、水生陆生调查报告；故对原批复总投资进行调整（阿州发改行审〔2019〕37号），批复调整后为：171.76万元，调整后的建设规模及内容：1、红柳滩娜姆沟右叉沟前段原河道清淤，清淤深度0.5m，宽度2.0m，清淤河道长139.86m；右叉沟后段入汇段229.60m长的河岸削坡整形；红柳滩河底清表除杂15cm厚，清表面积3500㎡；新建浆砌石拦河堰2座；维护整治河道内岛礁3座；2、娜姆河湖区河滩地清淤300㎡；拦河堰整修一处。</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达古冰川管理局2018年6月7日向阿坝州财政局申请使用2013年国家重点生态功能区转移支付资金（第二批）和2013年提前通知部分国家重点生态功区转移支付资金的结余资金用于该项目建设（达管局函〔2018〕22号），阿坝州财政局2018年同意我局使用2013年国家重点生态功能区转移支付资金（第二批）和2013年提前通知部分国家重点生态功区转移支付资金的结余资金用于该项目建设（阿州财非函〔2018〕3号）。</w:t>
      </w:r>
    </w:p>
    <w:p>
      <w:pPr>
        <w:pageBreakBefore w:val="0"/>
        <w:numPr>
          <w:ilvl w:val="0"/>
          <w:numId w:val="9"/>
        </w:numPr>
        <w:kinsoku/>
        <w:wordWrap/>
        <w:overflowPunct/>
        <w:topLinePunct w:val="0"/>
        <w:bidi w:val="0"/>
        <w:snapToGrid w:val="0"/>
        <w:spacing w:beforeLines="0" w:afterLines="0" w:line="480" w:lineRule="exact"/>
        <w:ind w:firstLine="643" w:firstLineChars="200"/>
        <w:rPr>
          <w:rFonts w:hint="eastAsia" w:ascii="楷体_GB2312" w:eastAsia="楷体_GB2312" w:cs="仿宋_GB2312"/>
          <w:b/>
          <w:sz w:val="32"/>
          <w:szCs w:val="32"/>
        </w:rPr>
      </w:pPr>
      <w:r>
        <w:rPr>
          <w:rFonts w:hint="eastAsia" w:ascii="楷体_GB2312" w:eastAsia="楷体_GB2312" w:cs="仿宋_GB2312"/>
          <w:b/>
          <w:sz w:val="32"/>
          <w:szCs w:val="32"/>
        </w:rPr>
        <w:t>项目管理情况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我局规划建设处对本项目进行了全过程监督管理，质量控制良好，未出现重大及以上质量事故；无安全生产事故发生；在项目执行前后，无人员违法违纪情况发生。</w:t>
      </w:r>
    </w:p>
    <w:p>
      <w:pPr>
        <w:pageBreakBefore w:val="0"/>
        <w:kinsoku/>
        <w:wordWrap/>
        <w:overflowPunct/>
        <w:topLinePunct w:val="0"/>
        <w:bidi w:val="0"/>
        <w:snapToGrid w:val="0"/>
        <w:spacing w:beforeLines="0" w:afterLines="0" w:line="480" w:lineRule="exact"/>
        <w:ind w:firstLine="643" w:firstLineChars="200"/>
        <w:rPr>
          <w:rFonts w:hint="eastAsia" w:ascii="楷体_GB2312" w:eastAsia="楷体_GB2312" w:cs="仿宋_GB2312"/>
          <w:b/>
          <w:sz w:val="32"/>
          <w:szCs w:val="32"/>
        </w:rPr>
      </w:pPr>
      <w:r>
        <w:rPr>
          <w:rFonts w:hint="eastAsia" w:ascii="楷体_GB2312" w:eastAsia="楷体_GB2312" w:cs="仿宋_GB2312"/>
          <w:b/>
          <w:sz w:val="32"/>
          <w:szCs w:val="32"/>
        </w:rPr>
        <w:t>（三）项目产出情况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达古冰山景区罗毕牧场河道防洪治涝生态修复工程项目完成规模及内容：1、红藓石堆砌124.4m³；2、1#拦河堰M12.5浆砌卵石边墙42.84m³；3、砂卵石填筑484.44m³；4、2#拦河堰M12.5浆砌卵石边墙36.56m³；5、干砌石护岸40.33m³；6、挖基础土方99.19m³。</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本项目由黑水县水利局、达古冰川管理局、四川亿丰建设工程管理有限公司、四川飞迪建筑有限公司、中山市水利水电勘测设计咨询有限公司共同验收通过。</w:t>
      </w:r>
    </w:p>
    <w:p>
      <w:pPr>
        <w:pageBreakBefore w:val="0"/>
        <w:kinsoku/>
        <w:wordWrap/>
        <w:overflowPunct/>
        <w:topLinePunct w:val="0"/>
        <w:bidi w:val="0"/>
        <w:snapToGrid w:val="0"/>
        <w:spacing w:beforeLines="0" w:afterLines="0" w:line="480" w:lineRule="exact"/>
        <w:ind w:firstLine="643" w:firstLineChars="200"/>
        <w:rPr>
          <w:rFonts w:hint="eastAsia" w:ascii="楷体_GB2312" w:eastAsia="楷体_GB2312" w:cs="仿宋_GB2312"/>
          <w:b/>
          <w:sz w:val="32"/>
          <w:szCs w:val="32"/>
        </w:rPr>
      </w:pPr>
      <w:r>
        <w:rPr>
          <w:rFonts w:hint="eastAsia" w:ascii="楷体_GB2312" w:eastAsia="楷体_GB2312" w:cs="仿宋_GB2312"/>
          <w:b/>
          <w:sz w:val="32"/>
          <w:szCs w:val="32"/>
        </w:rPr>
        <w:t>（四）项目效益情况。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达古冰山景区罗毕牧场河道防洪治涝生态修复工程项目竣工至今已有1年，目前项目完成效果良好，切实的缓解了达古冰川景区娜姆湖处河道堵塞情况，提升了预防罗毕牧场河道河岸两侧植被、水土流水的效果</w:t>
      </w:r>
      <w:r>
        <w:rPr>
          <w:rFonts w:hint="eastAsia" w:ascii="仿宋" w:eastAsia="仿宋" w:cs="仿宋" w:hAnsiTheme="minorHAnsi"/>
          <w:color w:val="auto"/>
          <w:kern w:val="2"/>
          <w:sz w:val="32"/>
          <w:szCs w:val="32"/>
          <w:shd w:val="solid" w:color="FFFFFF" w:fill="FFFFFF"/>
          <w:lang w:val="zh-CN" w:eastAsia="zh-CN" w:bidi="ar-SA"/>
        </w:rPr>
        <w:t>。</w:t>
      </w:r>
    </w:p>
    <w:p>
      <w:pPr>
        <w:pageBreakBefore w:val="0"/>
        <w:kinsoku/>
        <w:wordWrap/>
        <w:overflowPunct/>
        <w:topLinePunct w:val="0"/>
        <w:bidi w:val="0"/>
        <w:snapToGrid w:val="0"/>
        <w:spacing w:beforeLines="0" w:afterLines="0" w:line="480" w:lineRule="exact"/>
        <w:ind w:firstLine="640" w:firstLineChars="200"/>
        <w:rPr>
          <w:rFonts w:hint="eastAsia" w:ascii="黑体" w:eastAsia="黑体" w:cs="仿宋_GB2312"/>
          <w:sz w:val="32"/>
          <w:szCs w:val="32"/>
        </w:rPr>
      </w:pPr>
      <w:r>
        <w:rPr>
          <w:rFonts w:hint="eastAsia" w:ascii="黑体" w:eastAsia="黑体" w:cs="仿宋_GB2312"/>
          <w:sz w:val="32"/>
          <w:szCs w:val="32"/>
        </w:rPr>
        <w:t>五、存在主要问题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在项目实施过程中督促施工单位做好过程资料略有不足。</w:t>
      </w:r>
    </w:p>
    <w:p>
      <w:pPr>
        <w:pageBreakBefore w:val="0"/>
        <w:numPr>
          <w:ilvl w:val="0"/>
          <w:numId w:val="10"/>
        </w:numPr>
        <w:kinsoku/>
        <w:wordWrap/>
        <w:overflowPunct/>
        <w:topLinePunct w:val="0"/>
        <w:bidi w:val="0"/>
        <w:snapToGrid w:val="0"/>
        <w:spacing w:beforeLines="0" w:afterLines="0" w:line="480" w:lineRule="exact"/>
        <w:ind w:firstLine="640" w:firstLineChars="200"/>
        <w:rPr>
          <w:rFonts w:hint="eastAsia" w:ascii="黑体" w:eastAsia="黑体" w:cs="仿宋_GB2312"/>
          <w:sz w:val="32"/>
          <w:szCs w:val="32"/>
        </w:rPr>
      </w:pPr>
      <w:r>
        <w:rPr>
          <w:rFonts w:hint="eastAsia" w:ascii="黑体" w:eastAsia="黑体" w:cs="仿宋_GB2312"/>
          <w:sz w:val="32"/>
          <w:szCs w:val="32"/>
        </w:rPr>
        <w:t>相关措施建议</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zh-CN" w:eastAsia="zh-CN" w:bidi="ar-SA"/>
        </w:rPr>
      </w:pPr>
      <w:r>
        <w:rPr>
          <w:rFonts w:hint="eastAsia" w:ascii="仿宋" w:eastAsia="仿宋" w:cs="仿宋" w:hAnsiTheme="minorHAnsi"/>
          <w:color w:val="auto"/>
          <w:kern w:val="2"/>
          <w:sz w:val="32"/>
          <w:szCs w:val="32"/>
          <w:shd w:val="solid" w:color="FFFFFF" w:fill="FFFFFF"/>
          <w:lang w:val="en-US" w:eastAsia="zh-CN" w:bidi="ar-SA"/>
        </w:rPr>
        <w:t>达古冰川景区无专项资金用于整治河道竣疏，河道淤积物较多，抗汛压力大，建议安排专项资金集中整治河道，确保游客及景区原住民生产生活安全，预防水土流水，保持生态平衡</w:t>
      </w:r>
      <w:r>
        <w:rPr>
          <w:rFonts w:hint="eastAsia" w:ascii="仿宋" w:eastAsia="仿宋" w:cs="仿宋" w:hAnsiTheme="minorHAnsi"/>
          <w:color w:val="auto"/>
          <w:kern w:val="2"/>
          <w:sz w:val="32"/>
          <w:szCs w:val="32"/>
          <w:shd w:val="solid" w:color="FFFFFF" w:fill="FFFFFF"/>
          <w:lang w:val="zh-CN"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zh-CN"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jc w:val="left"/>
        <w:textAlignment w:val="auto"/>
        <w:rPr>
          <w:rFonts w:hint="eastAsia" w:ascii="仿宋" w:eastAsia="仿宋" w:cs="仿宋" w:hAnsiTheme="minorHAnsi"/>
          <w:color w:val="auto"/>
          <w:kern w:val="2"/>
          <w:sz w:val="32"/>
          <w:szCs w:val="32"/>
          <w:shd w:val="solid" w:color="FFFFFF" w:fill="FFFFFF"/>
          <w:lang w:val="en-US" w:eastAsia="zh-CN" w:bidi="ar-SA"/>
        </w:rPr>
      </w:pPr>
    </w:p>
    <w:p>
      <w:pPr>
        <w:pageBreakBefore w:val="0"/>
        <w:kinsoku/>
        <w:wordWrap/>
        <w:overflowPunct/>
        <w:topLinePunct w:val="0"/>
        <w:bidi w:val="0"/>
        <w:spacing w:beforeLines="0" w:afterLines="0" w:line="480" w:lineRule="exact"/>
        <w:jc w:val="center"/>
        <w:rPr>
          <w:rFonts w:hint="eastAsia" w:ascii="方正小标宋简体" w:eastAsia="方正小标宋简体" w:cs="方正小标宋_GBK"/>
          <w:w w:val="96"/>
          <w:sz w:val="36"/>
          <w:szCs w:val="36"/>
        </w:rPr>
      </w:pPr>
      <w:r>
        <w:rPr>
          <w:rFonts w:hint="eastAsia" w:ascii="方正小标宋简体" w:eastAsia="方正小标宋简体" w:cs="方正小标宋_GBK"/>
          <w:w w:val="96"/>
          <w:sz w:val="36"/>
          <w:szCs w:val="36"/>
        </w:rPr>
        <w:t>营销项目支出绩效评价报告</w:t>
      </w:r>
    </w:p>
    <w:p>
      <w:pPr>
        <w:pageBreakBefore w:val="0"/>
        <w:kinsoku/>
        <w:wordWrap/>
        <w:overflowPunct/>
        <w:topLinePunct w:val="0"/>
        <w:bidi w:val="0"/>
        <w:spacing w:beforeLines="0" w:afterLines="0" w:line="480" w:lineRule="exact"/>
        <w:jc w:val="center"/>
        <w:rPr>
          <w:rFonts w:hint="eastAsia" w:ascii="方正小标宋简体" w:eastAsia="方正小标宋简体" w:cs="方正小标宋_GBK"/>
          <w:w w:val="96"/>
          <w:sz w:val="36"/>
          <w:szCs w:val="36"/>
        </w:rPr>
      </w:pPr>
    </w:p>
    <w:p>
      <w:pPr>
        <w:pageBreakBefore w:val="0"/>
        <w:kinsoku/>
        <w:wordWrap/>
        <w:overflowPunct/>
        <w:topLinePunct w:val="0"/>
        <w:bidi w:val="0"/>
        <w:spacing w:beforeLines="0" w:afterLines="0" w:line="480" w:lineRule="exact"/>
        <w:ind w:firstLine="640" w:firstLineChars="200"/>
        <w:rPr>
          <w:rFonts w:hint="eastAsia" w:ascii="黑体" w:eastAsia="黑体" w:cs="黑体"/>
          <w:sz w:val="32"/>
          <w:szCs w:val="32"/>
        </w:rPr>
      </w:pPr>
      <w:r>
        <w:rPr>
          <w:rFonts w:hint="eastAsia" w:ascii="黑体" w:eastAsia="黑体" w:cs="黑体"/>
          <w:sz w:val="32"/>
          <w:szCs w:val="32"/>
        </w:rPr>
        <w:t>一、项目概况</w:t>
      </w:r>
    </w:p>
    <w:p>
      <w:pPr>
        <w:pageBreakBefore w:val="0"/>
        <w:kinsoku/>
        <w:wordWrap/>
        <w:overflowPunct/>
        <w:topLinePunct w:val="0"/>
        <w:bidi w:val="0"/>
        <w:spacing w:beforeLines="0" w:afterLines="0" w:line="480" w:lineRule="exact"/>
        <w:ind w:firstLine="643" w:firstLineChars="200"/>
        <w:rPr>
          <w:rFonts w:hint="eastAsia" w:ascii="楷体_GB2312" w:eastAsia="楷体_GB2312" w:cs="楷体_GB2312"/>
          <w:b/>
          <w:sz w:val="32"/>
          <w:szCs w:val="32"/>
        </w:rPr>
      </w:pPr>
      <w:r>
        <w:rPr>
          <w:rFonts w:hint="eastAsia" w:ascii="楷体_GB2312" w:eastAsia="楷体_GB2312" w:cs="楷体_GB2312"/>
          <w:b/>
          <w:sz w:val="32"/>
          <w:szCs w:val="32"/>
        </w:rPr>
        <w:t>（一）项目资金申报及批复情况</w:t>
      </w:r>
    </w:p>
    <w:p>
      <w:pPr>
        <w:pageBreakBefore w:val="0"/>
        <w:kinsoku/>
        <w:wordWrap/>
        <w:overflowPunct/>
        <w:topLinePunct w:val="0"/>
        <w:bidi w:val="0"/>
        <w:spacing w:beforeLines="0" w:afterLines="0" w:line="480" w:lineRule="exact"/>
        <w:ind w:firstLine="640" w:firstLineChars="200"/>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2020年，达古冰川管理局向阿坝州旅游产业发展领导小组呈报了2020年营销工作方案。按照全州旅游整合营销工作座谈会会议安排，由原阿坝州旅发委统筹全州旅游宣传营销资金，同时按照达古冰川景区管理局常规营销活动营销经费。阿坝州旅游产业发展领导小组同意我局报送的2020年旅游宣传整合营销工作方案，具体活动开展遵循市场原则，在实施中可灵活操作，但活动经费总额必须控制在原计划内。按照资金分配方案，给予达古冰川管理局2020年州本级重点旅游整合营销项目资金320万元。</w:t>
      </w:r>
    </w:p>
    <w:p>
      <w:pPr>
        <w:pageBreakBefore w:val="0"/>
        <w:kinsoku/>
        <w:wordWrap/>
        <w:overflowPunct/>
        <w:topLinePunct w:val="0"/>
        <w:bidi w:val="0"/>
        <w:spacing w:beforeLines="0" w:afterLines="0" w:line="480" w:lineRule="exact"/>
        <w:ind w:firstLine="643" w:firstLineChars="200"/>
        <w:rPr>
          <w:rFonts w:hint="eastAsia" w:ascii="楷体_GB2312" w:eastAsia="楷体_GB2312" w:cs="楷体_GB2312"/>
          <w:b/>
          <w:sz w:val="32"/>
          <w:szCs w:val="32"/>
        </w:rPr>
      </w:pPr>
      <w:r>
        <w:rPr>
          <w:rFonts w:hint="eastAsia" w:ascii="楷体_GB2312" w:eastAsia="楷体_GB2312" w:cs="楷体_GB2312"/>
          <w:b/>
          <w:sz w:val="32"/>
          <w:szCs w:val="32"/>
        </w:rPr>
        <w:t>（二）项目绩效目标</w:t>
      </w:r>
    </w:p>
    <w:p>
      <w:pPr>
        <w:pageBreakBefore w:val="0"/>
        <w:kinsoku/>
        <w:wordWrap/>
        <w:overflowPunct/>
        <w:topLinePunct w:val="0"/>
        <w:bidi w:val="0"/>
        <w:spacing w:beforeLines="0" w:afterLines="0" w:line="480" w:lineRule="exact"/>
        <w:ind w:firstLine="707" w:firstLineChars="221"/>
        <w:rPr>
          <w:rFonts w:hint="eastAsia" w:ascii="仿宋_GB2312" w:eastAsia="仿宋_GB2312"/>
          <w:sz w:val="32"/>
          <w:szCs w:val="32"/>
        </w:rPr>
      </w:pPr>
      <w:r>
        <w:rPr>
          <w:rFonts w:hint="eastAsia" w:ascii="仿宋" w:eastAsia="仿宋" w:cs="仿宋" w:hAnsiTheme="minorHAnsi"/>
          <w:color w:val="auto"/>
          <w:kern w:val="2"/>
          <w:sz w:val="32"/>
          <w:szCs w:val="32"/>
          <w:shd w:val="solid" w:color="FFFFFF" w:fill="FFFFFF"/>
          <w:lang w:val="en-US" w:eastAsia="zh-CN" w:bidi="ar-SA"/>
        </w:rPr>
        <w:t>项目实施初期，达古冰川管理局本着遵循市场原则，严格按照景区实际需求开展实施。项目内容主要突出品牌打造、专题宣传及渠道拓展。通过多项活动的整合发力，强化了达古冰川景区的传统既有活动及节庆，同时又通过创新活动方式，提升营销精度及事件热度。全力实现景区游客及收入双增长，加快冰川彩林国际度假区的建设。</w:t>
      </w:r>
    </w:p>
    <w:p>
      <w:pPr>
        <w:pageBreakBefore w:val="0"/>
        <w:kinsoku/>
        <w:wordWrap/>
        <w:overflowPunct/>
        <w:topLinePunct w:val="0"/>
        <w:bidi w:val="0"/>
        <w:spacing w:beforeLines="0" w:afterLines="0" w:line="480" w:lineRule="exact"/>
        <w:ind w:firstLine="643" w:firstLineChars="200"/>
        <w:rPr>
          <w:rFonts w:hint="eastAsia" w:ascii="楷体_GB2312" w:eastAsia="楷体_GB2312" w:cs="楷体_GB2312"/>
          <w:b/>
          <w:sz w:val="32"/>
          <w:szCs w:val="32"/>
        </w:rPr>
      </w:pPr>
      <w:r>
        <w:rPr>
          <w:rFonts w:hint="eastAsia" w:ascii="楷体_GB2312" w:eastAsia="楷体_GB2312" w:cs="楷体_GB2312"/>
          <w:b/>
          <w:sz w:val="32"/>
          <w:szCs w:val="32"/>
        </w:rPr>
        <w:t>（三）项目资金申报相符性</w:t>
      </w:r>
    </w:p>
    <w:p>
      <w:pPr>
        <w:pStyle w:val="40"/>
        <w:pageBreakBefore w:val="0"/>
        <w:kinsoku/>
        <w:wordWrap/>
        <w:overflowPunct/>
        <w:topLinePunct w:val="0"/>
        <w:bidi w:val="0"/>
        <w:spacing w:beforeLines="0" w:afterLines="0" w:line="480" w:lineRule="exact"/>
        <w:rPr>
          <w:rFonts w:hint="eastAsia" w:ascii="仿宋" w:eastAsia="仿宋" w:cs="仿宋" w:hAnsiTheme="minorHAnsi"/>
          <w:color w:val="auto"/>
          <w:kern w:val="2"/>
          <w:sz w:val="32"/>
          <w:szCs w:val="32"/>
          <w:shd w:val="solid" w:color="FFFFFF" w:fill="FFFFFF"/>
          <w:lang w:val="en-US" w:eastAsia="zh-CN" w:bidi="ar-SA"/>
        </w:rPr>
      </w:pPr>
      <w:r>
        <w:rPr>
          <w:rFonts w:hint="default" w:ascii="宋体"/>
          <w:sz w:val="21"/>
          <w:szCs w:val="24"/>
        </w:rPr>
        <w:t xml:space="preserve">      </w:t>
      </w:r>
      <w:r>
        <w:rPr>
          <w:rFonts w:hint="eastAsia" w:ascii="仿宋_GB2312" w:eastAsia="仿宋_GB2312"/>
          <w:kern w:val="2"/>
          <w:sz w:val="32"/>
          <w:szCs w:val="32"/>
        </w:rPr>
        <w:t xml:space="preserve"> </w:t>
      </w:r>
      <w:r>
        <w:rPr>
          <w:rFonts w:hint="eastAsia" w:ascii="仿宋" w:eastAsia="仿宋" w:cs="仿宋" w:hAnsiTheme="minorHAnsi"/>
          <w:color w:val="auto"/>
          <w:kern w:val="2"/>
          <w:sz w:val="32"/>
          <w:szCs w:val="32"/>
          <w:shd w:val="solid" w:color="FFFFFF" w:fill="FFFFFF"/>
          <w:lang w:val="en-US" w:eastAsia="zh-CN" w:bidi="ar-SA"/>
        </w:rPr>
        <w:t>2020年达古冰川管理局营销资金申报内容与项目具体实施内容高度吻合，且申报目标合理可行，为达古冰川景区旅游发展，提升人气，振兴市场打下基础。</w:t>
      </w:r>
    </w:p>
    <w:p>
      <w:pPr>
        <w:pStyle w:val="40"/>
        <w:pageBreakBefore w:val="0"/>
        <w:kinsoku/>
        <w:wordWrap/>
        <w:overflowPunct/>
        <w:topLinePunct w:val="0"/>
        <w:bidi w:val="0"/>
        <w:spacing w:beforeLines="0" w:afterLines="0" w:line="480" w:lineRule="exact"/>
        <w:ind w:firstLine="640" w:firstLineChars="200"/>
        <w:rPr>
          <w:rFonts w:hint="eastAsia" w:ascii="黑体" w:eastAsia="黑体" w:cs="黑体"/>
          <w:sz w:val="32"/>
          <w:szCs w:val="32"/>
        </w:rPr>
      </w:pPr>
      <w:r>
        <w:rPr>
          <w:rFonts w:hint="eastAsia" w:ascii="黑体" w:eastAsia="黑体" w:cs="黑体"/>
          <w:sz w:val="32"/>
          <w:szCs w:val="32"/>
        </w:rPr>
        <w:t>二、项目实施及管理情况评</w:t>
      </w:r>
    </w:p>
    <w:p>
      <w:pPr>
        <w:pageBreakBefore w:val="0"/>
        <w:kinsoku/>
        <w:wordWrap/>
        <w:overflowPunct/>
        <w:topLinePunct w:val="0"/>
        <w:bidi w:val="0"/>
        <w:spacing w:beforeLines="0" w:afterLines="0" w:line="480" w:lineRule="exact"/>
        <w:ind w:left="160" w:firstLine="321" w:firstLineChars="100"/>
        <w:rPr>
          <w:rFonts w:hint="eastAsia" w:ascii="楷体_GB2312" w:eastAsia="楷体_GB2312" w:cs="楷体_GB2312"/>
          <w:b/>
          <w:sz w:val="32"/>
          <w:szCs w:val="32"/>
        </w:rPr>
      </w:pPr>
      <w:r>
        <w:rPr>
          <w:rFonts w:hint="eastAsia" w:ascii="楷体_GB2312" w:eastAsia="楷体_GB2312" w:cs="楷体_GB2312"/>
          <w:b/>
          <w:sz w:val="32"/>
          <w:szCs w:val="32"/>
        </w:rPr>
        <w:t>（一）资金计划、到位及使用情况</w:t>
      </w:r>
    </w:p>
    <w:p>
      <w:pPr>
        <w:pStyle w:val="40"/>
        <w:pageBreakBefore w:val="0"/>
        <w:kinsoku/>
        <w:wordWrap/>
        <w:overflowPunct/>
        <w:topLinePunct w:val="0"/>
        <w:bidi w:val="0"/>
        <w:spacing w:beforeLines="0" w:afterLines="0" w:line="480" w:lineRule="exact"/>
        <w:ind w:firstLine="641"/>
        <w:rPr>
          <w:rFonts w:hint="eastAsia" w:ascii="仿宋_GB2312" w:eastAsia="仿宋_GB2312"/>
          <w:b/>
          <w:kern w:val="2"/>
          <w:sz w:val="32"/>
          <w:szCs w:val="32"/>
        </w:rPr>
      </w:pPr>
      <w:r>
        <w:rPr>
          <w:rFonts w:hint="eastAsia" w:ascii="仿宋_GB2312" w:eastAsia="仿宋_GB2312"/>
          <w:b/>
          <w:kern w:val="2"/>
          <w:sz w:val="32"/>
          <w:szCs w:val="32"/>
        </w:rPr>
        <w:t>1.资金到位情况。</w:t>
      </w:r>
    </w:p>
    <w:p>
      <w:pPr>
        <w:pStyle w:val="40"/>
        <w:pageBreakBefore w:val="0"/>
        <w:kinsoku/>
        <w:wordWrap/>
        <w:overflowPunct/>
        <w:topLinePunct w:val="0"/>
        <w:bidi w:val="0"/>
        <w:spacing w:beforeLines="0" w:afterLines="0" w:line="480" w:lineRule="exact"/>
        <w:ind w:firstLine="641"/>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2020年营销经费总额为320万元，全部为州本级财政资金。2020年3月，资金到位共计320万元。资金到位及时，资金到位率100%。</w:t>
      </w:r>
    </w:p>
    <w:p>
      <w:pPr>
        <w:pStyle w:val="40"/>
        <w:pageBreakBefore w:val="0"/>
        <w:numPr>
          <w:ilvl w:val="0"/>
          <w:numId w:val="0"/>
        </w:numPr>
        <w:kinsoku/>
        <w:wordWrap/>
        <w:overflowPunct/>
        <w:topLinePunct w:val="0"/>
        <w:bidi w:val="0"/>
        <w:spacing w:beforeLines="0" w:afterLines="0" w:line="480" w:lineRule="exact"/>
        <w:ind w:firstLine="643" w:firstLineChars="200"/>
        <w:rPr>
          <w:rFonts w:hint="eastAsia" w:ascii="仿宋_GB2312" w:eastAsia="仿宋_GB2312"/>
          <w:b/>
          <w:kern w:val="2"/>
          <w:sz w:val="32"/>
          <w:szCs w:val="32"/>
        </w:rPr>
      </w:pPr>
      <w:r>
        <w:rPr>
          <w:rFonts w:hint="eastAsia" w:ascii="仿宋_GB2312" w:eastAsia="仿宋_GB2312"/>
          <w:b/>
          <w:kern w:val="2"/>
          <w:sz w:val="32"/>
          <w:szCs w:val="32"/>
          <w:lang w:val="en-US" w:eastAsia="zh-CN"/>
        </w:rPr>
        <w:t>2.</w:t>
      </w:r>
      <w:r>
        <w:rPr>
          <w:rFonts w:hint="eastAsia" w:ascii="仿宋_GB2312" w:eastAsia="仿宋_GB2312"/>
          <w:b/>
          <w:kern w:val="2"/>
          <w:sz w:val="32"/>
          <w:szCs w:val="32"/>
        </w:rPr>
        <w:t>资金使用情况。</w:t>
      </w:r>
    </w:p>
    <w:p>
      <w:pPr>
        <w:pStyle w:val="40"/>
        <w:pageBreakBefore w:val="0"/>
        <w:numPr>
          <w:ilvl w:val="0"/>
          <w:numId w:val="0"/>
        </w:numPr>
        <w:kinsoku/>
        <w:wordWrap/>
        <w:overflowPunct/>
        <w:topLinePunct w:val="0"/>
        <w:bidi w:val="0"/>
        <w:spacing w:beforeLines="0" w:afterLines="0" w:line="480" w:lineRule="exact"/>
        <w:ind w:firstLine="640" w:firstLineChars="200"/>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截止报告期末，项目共支出经费319.94万元。支付率达99.98%。具体为：支付景区微信公众号和微博运营15万；支付重庆保小姐抖音、快手视频直播5000元；支付零二品牌户外广告牌画面制作安装5.3万；支付抖音平台数据推广10万；彭州商业中心LED大屏4.9万；成都地铁广告8条线路投放3.8万；拍摄《360度达古冰川》宣传片20万；两家电台26万；制作网红打卡点标识牌10个2.5万；曹操专车宣传合作5万；框架电梯传统平面广告16万；五一媒体投放项目5万；宣传资料制作9.748万；自然之光部落环保摄影大赛18万；电梯广告制作2.1万；国庆中秋宣传5万；最近的遥远达古冰川西安市场新品发布会5万；2020达古冰川登山越野赛30万；西安市场宣传资料制作3.59万；重庆市场视频制作及推广6万；2020冬日穿搭活动16万；设计、制作《探秘达古冰川》画册补充费用2.5万；重庆北站北广场LED屏投放4.5万；麻辣社区及四川新闻网宣传推广及自驾活动9.6万；新潮电梯电视联播网广告10万；四川经济频率财富广播94.0广告及主题活动7万；成都地铁广告投放4号线10万；零度音乐会24。8万；中国爱情圣地IP形象打造活动15万；西安市场公交车车体及电梯广告10万；绵阳旅游市场宣传资料制作2万；GOFUN共享汽车冰雪之旅10万；抖音推广8万。</w:t>
      </w:r>
    </w:p>
    <w:p>
      <w:pPr>
        <w:pageBreakBefore w:val="0"/>
        <w:kinsoku/>
        <w:wordWrap/>
        <w:overflowPunct/>
        <w:topLinePunct w:val="0"/>
        <w:bidi w:val="0"/>
        <w:spacing w:beforeLines="0" w:afterLines="0" w:line="480" w:lineRule="exact"/>
        <w:ind w:firstLine="643" w:firstLineChars="200"/>
        <w:rPr>
          <w:rFonts w:hint="eastAsia" w:ascii="楷体_GB2312" w:eastAsia="楷体_GB2312" w:cs="楷体_GB2312"/>
          <w:b/>
          <w:sz w:val="32"/>
          <w:szCs w:val="32"/>
        </w:rPr>
      </w:pPr>
      <w:r>
        <w:rPr>
          <w:rFonts w:hint="eastAsia" w:ascii="楷体_GB2312" w:eastAsia="楷体_GB2312" w:cs="楷体_GB2312"/>
          <w:b/>
          <w:sz w:val="32"/>
          <w:szCs w:val="32"/>
        </w:rPr>
        <w:t>（二）项目财务管理情况</w:t>
      </w:r>
    </w:p>
    <w:p>
      <w:pPr>
        <w:pStyle w:val="40"/>
        <w:pageBreakBefore w:val="0"/>
        <w:numPr>
          <w:ilvl w:val="0"/>
          <w:numId w:val="0"/>
        </w:numPr>
        <w:kinsoku/>
        <w:wordWrap/>
        <w:overflowPunct/>
        <w:topLinePunct w:val="0"/>
        <w:bidi w:val="0"/>
        <w:spacing w:beforeLines="0" w:afterLines="0" w:line="480" w:lineRule="exact"/>
        <w:ind w:firstLine="640" w:firstLineChars="200"/>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 xml:space="preserve"> 本项目经费由州财政局统一核算管理，按照项目计划安排和实际工作情况开支，做到了专款专用，支付依据合法合规。</w:t>
      </w:r>
    </w:p>
    <w:p>
      <w:pPr>
        <w:pageBreakBefore w:val="0"/>
        <w:kinsoku/>
        <w:wordWrap/>
        <w:overflowPunct/>
        <w:topLinePunct w:val="0"/>
        <w:bidi w:val="0"/>
        <w:spacing w:beforeLines="0" w:afterLines="0" w:line="480" w:lineRule="exact"/>
        <w:ind w:firstLine="643" w:firstLineChars="200"/>
        <w:rPr>
          <w:rFonts w:hint="eastAsia" w:ascii="楷体_GB2312" w:eastAsia="楷体_GB2312" w:cs="楷体_GB2312"/>
          <w:b/>
          <w:sz w:val="32"/>
          <w:szCs w:val="32"/>
        </w:rPr>
      </w:pPr>
      <w:r>
        <w:rPr>
          <w:rFonts w:hint="eastAsia" w:ascii="楷体_GB2312" w:eastAsia="楷体_GB2312" w:cs="楷体_GB2312"/>
          <w:b/>
          <w:sz w:val="32"/>
          <w:szCs w:val="32"/>
        </w:rPr>
        <w:t>（三）项目组织实施情况</w:t>
      </w:r>
    </w:p>
    <w:p>
      <w:pPr>
        <w:pStyle w:val="40"/>
        <w:pageBreakBefore w:val="0"/>
        <w:numPr>
          <w:ilvl w:val="0"/>
          <w:numId w:val="0"/>
        </w:numPr>
        <w:kinsoku/>
        <w:wordWrap/>
        <w:overflowPunct/>
        <w:topLinePunct w:val="0"/>
        <w:bidi w:val="0"/>
        <w:spacing w:beforeLines="0" w:afterLines="0" w:line="480" w:lineRule="exact"/>
        <w:ind w:firstLine="640" w:firstLineChars="200"/>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所有项目资金严格按相关财务管理、使用制度执行，财务处理及时、会计核算规范。</w:t>
      </w:r>
    </w:p>
    <w:p>
      <w:pPr>
        <w:pageBreakBefore w:val="0"/>
        <w:kinsoku/>
        <w:wordWrap/>
        <w:overflowPunct/>
        <w:topLinePunct w:val="0"/>
        <w:bidi w:val="0"/>
        <w:spacing w:beforeLines="0" w:afterLines="0" w:line="480" w:lineRule="exact"/>
        <w:ind w:firstLine="640" w:firstLineChars="200"/>
        <w:rPr>
          <w:rFonts w:hint="eastAsia" w:ascii="黑体" w:eastAsia="黑体" w:cs="黑体"/>
          <w:sz w:val="32"/>
          <w:szCs w:val="32"/>
        </w:rPr>
      </w:pPr>
      <w:r>
        <w:rPr>
          <w:rFonts w:hint="eastAsia" w:ascii="黑体" w:eastAsia="黑体" w:cs="黑体"/>
          <w:sz w:val="32"/>
          <w:szCs w:val="32"/>
        </w:rPr>
        <w:t>三、项目绩效情况</w:t>
      </w:r>
    </w:p>
    <w:p>
      <w:pPr>
        <w:pageBreakBefore w:val="0"/>
        <w:kinsoku/>
        <w:wordWrap/>
        <w:overflowPunct/>
        <w:topLinePunct w:val="0"/>
        <w:bidi w:val="0"/>
        <w:spacing w:beforeLines="0" w:afterLines="0" w:line="480" w:lineRule="exact"/>
        <w:ind w:firstLine="643" w:firstLineChars="200"/>
        <w:rPr>
          <w:rFonts w:hint="eastAsia" w:ascii="楷体_GB2312" w:eastAsia="楷体_GB2312" w:cs="楷体_GB2312"/>
          <w:b/>
          <w:sz w:val="32"/>
          <w:szCs w:val="32"/>
        </w:rPr>
      </w:pPr>
      <w:r>
        <w:rPr>
          <w:rFonts w:hint="eastAsia" w:ascii="楷体_GB2312" w:eastAsia="楷体_GB2312" w:cs="楷体_GB2312"/>
          <w:b/>
          <w:sz w:val="32"/>
          <w:szCs w:val="32"/>
        </w:rPr>
        <w:t>（一）项目完成情况</w:t>
      </w:r>
    </w:p>
    <w:p>
      <w:pPr>
        <w:pStyle w:val="38"/>
        <w:pageBreakBefore w:val="0"/>
        <w:kinsoku/>
        <w:wordWrap/>
        <w:overflowPunct/>
        <w:topLinePunct w:val="0"/>
        <w:bidi w:val="0"/>
        <w:spacing w:beforeLines="0" w:afterLines="0" w:line="480" w:lineRule="exact"/>
        <w:rPr>
          <w:rFonts w:hint="eastAsia" w:ascii="仿宋_GB2312" w:eastAsia="仿宋_GB2312"/>
          <w:b/>
          <w:sz w:val="32"/>
          <w:szCs w:val="32"/>
        </w:rPr>
      </w:pPr>
      <w:r>
        <w:rPr>
          <w:rFonts w:hint="eastAsia" w:ascii="仿宋_GB2312" w:eastAsia="仿宋_GB2312"/>
          <w:b/>
          <w:sz w:val="32"/>
          <w:szCs w:val="32"/>
        </w:rPr>
        <w:t>1.产品线路优化升级</w:t>
      </w:r>
    </w:p>
    <w:p>
      <w:pPr>
        <w:pageBreakBefore w:val="0"/>
        <w:kinsoku/>
        <w:wordWrap/>
        <w:overflowPunct/>
        <w:topLinePunct w:val="0"/>
        <w:bidi w:val="0"/>
        <w:spacing w:beforeLines="0" w:afterLines="0" w:line="480" w:lineRule="exact"/>
        <w:ind w:firstLine="640" w:firstLineChars="200"/>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着力打响以“山盟海誓”为核心的“四季冰川”旅游品牌。开展全媒体、各类新闻、宣传品、广告等多种形式推广“川西北黄金线”、“雪山彩林线”等6条精品旅游线路并受到广大游客及旅行社认同。</w:t>
      </w:r>
    </w:p>
    <w:p>
      <w:pPr>
        <w:pStyle w:val="38"/>
        <w:pageBreakBefore w:val="0"/>
        <w:kinsoku/>
        <w:wordWrap/>
        <w:overflowPunct/>
        <w:topLinePunct w:val="0"/>
        <w:bidi w:val="0"/>
        <w:spacing w:beforeLines="0" w:afterLines="0" w:line="480" w:lineRule="exact"/>
        <w:rPr>
          <w:rFonts w:hint="eastAsia" w:ascii="仿宋_GB2312" w:eastAsia="仿宋_GB2312" w:cs="仿宋_GB2312"/>
          <w:b/>
          <w:sz w:val="32"/>
          <w:szCs w:val="32"/>
        </w:rPr>
      </w:pPr>
      <w:r>
        <w:rPr>
          <w:rFonts w:hint="eastAsia" w:ascii="仿宋_GB2312" w:eastAsia="仿宋_GB2312" w:cs="仿宋_GB2312"/>
          <w:b/>
          <w:sz w:val="32"/>
          <w:szCs w:val="32"/>
        </w:rPr>
        <w:t>2.渠道拓展稳固有序</w:t>
      </w:r>
    </w:p>
    <w:p>
      <w:pPr>
        <w:pageBreakBefore w:val="0"/>
        <w:kinsoku/>
        <w:wordWrap/>
        <w:overflowPunct/>
        <w:topLinePunct w:val="0"/>
        <w:bidi w:val="0"/>
        <w:spacing w:beforeLines="0" w:afterLines="0" w:line="480" w:lineRule="exact"/>
        <w:ind w:firstLine="627" w:firstLineChars="196"/>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一是形成发团旅行社61家，其中州内旅行社2家，川渝旅行社46家，省外旅行社13家，电商平台全面打开。团散比例更是由去年的3:7上升到4：6，团队增幅明显；二是建立多地域、多区域联动渠道。与阿坝州文旅启动景区全网预约（预售）机制，完善电商体系；三是多点开花、着力拓展客源市场。在不断巩固成渝两地基础客源市场的同时，辐射东南亚沿海地区，并积极参加；各类推介活动共计3场次，现场推介2场次，发放各类宣传资料30000份。</w:t>
      </w:r>
    </w:p>
    <w:p>
      <w:pPr>
        <w:pStyle w:val="38"/>
        <w:pageBreakBefore w:val="0"/>
        <w:kinsoku/>
        <w:wordWrap/>
        <w:overflowPunct/>
        <w:topLinePunct w:val="0"/>
        <w:bidi w:val="0"/>
        <w:spacing w:beforeLines="0" w:afterLines="0" w:line="480" w:lineRule="exact"/>
        <w:rPr>
          <w:rFonts w:hint="eastAsia" w:ascii="仿宋_GB2312" w:eastAsia="仿宋_GB2312"/>
          <w:sz w:val="32"/>
          <w:szCs w:val="32"/>
        </w:rPr>
      </w:pPr>
      <w:r>
        <w:rPr>
          <w:rFonts w:hint="eastAsia" w:ascii="仿宋_GB2312" w:eastAsia="仿宋_GB2312" w:cs="仿宋_GB2312"/>
          <w:b/>
          <w:color w:val="000000"/>
          <w:sz w:val="32"/>
          <w:szCs w:val="32"/>
        </w:rPr>
        <w:t>3.主题活动</w:t>
      </w:r>
      <w:r>
        <w:rPr>
          <w:rFonts w:hint="eastAsia" w:ascii="仿宋_GB2312" w:eastAsia="仿宋_GB2312" w:cs="仿宋_GB2312"/>
          <w:b/>
          <w:sz w:val="32"/>
          <w:szCs w:val="32"/>
        </w:rPr>
        <w:t>持续创新</w:t>
      </w:r>
    </w:p>
    <w:p>
      <w:pPr>
        <w:pageBreakBefore w:val="0"/>
        <w:kinsoku/>
        <w:wordWrap/>
        <w:overflowPunct/>
        <w:topLinePunct w:val="0"/>
        <w:bidi w:val="0"/>
        <w:spacing w:beforeLines="0" w:afterLines="0" w:line="480" w:lineRule="exact"/>
        <w:ind w:firstLine="640" w:firstLineChars="200"/>
        <w:rPr>
          <w:rFonts w:hint="default"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一是利用各官方法定节日和民间节日开展形式多样的网络主题营销活动，与疯狂潘达开展越过四季登山越野赛。与成都胡桃盒子和四川尚腾文化开展线上线下抖音、快手等网红直播活动；二是在元旦举办“零度音乐会”，活动通过网络、电台、直播、电视新闻等方式直接影响人群超过100万人次；三是春节举办“燃情夏日达古有雪”的主题活动，结合炎热天气实时宣传景区冰雪资源；四是与黑水县政府成功联合举办了“2020年第八届冰川彩林·生态文化旅游季”，并通多项活动提升参与度与体验度。五是完成“山盟海誓·情定达古”婚纱摄影活动。首次在活动中引入网红直播，观看数量超过100万人次。同时，成功举办了“婚纱旅拍”研讨会并与天空摄影签订战略合作协议；六是各类特色活动全面开花。</w:t>
      </w:r>
    </w:p>
    <w:p>
      <w:pPr>
        <w:pageBreakBefore w:val="0"/>
        <w:kinsoku/>
        <w:wordWrap/>
        <w:overflowPunct/>
        <w:topLinePunct w:val="0"/>
        <w:bidi w:val="0"/>
        <w:spacing w:beforeLines="0" w:afterLines="0" w:line="480" w:lineRule="exact"/>
        <w:ind w:firstLine="640" w:firstLineChars="200"/>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2020全年共完成各类主题活动17次，媒体宣传报道超过500余篇，阅读浏览量超过1500万人次，均创历史最佳。</w:t>
      </w:r>
    </w:p>
    <w:p>
      <w:pPr>
        <w:pStyle w:val="38"/>
        <w:pageBreakBefore w:val="0"/>
        <w:kinsoku/>
        <w:wordWrap/>
        <w:overflowPunct/>
        <w:topLinePunct w:val="0"/>
        <w:bidi w:val="0"/>
        <w:spacing w:beforeLines="0" w:afterLines="0" w:line="480" w:lineRule="exact"/>
        <w:jc w:val="left"/>
        <w:rPr>
          <w:rFonts w:hint="eastAsia" w:ascii="仿宋_GB2312" w:eastAsia="仿宋_GB2312"/>
          <w:b/>
          <w:sz w:val="32"/>
          <w:szCs w:val="32"/>
        </w:rPr>
      </w:pPr>
      <w:r>
        <w:rPr>
          <w:rFonts w:hint="eastAsia" w:ascii="仿宋_GB2312" w:eastAsia="仿宋_GB2312" w:cs="仿宋_GB2312"/>
          <w:b/>
          <w:sz w:val="32"/>
          <w:szCs w:val="32"/>
        </w:rPr>
        <w:t>4.对外</w:t>
      </w:r>
      <w:r>
        <w:rPr>
          <w:rFonts w:hint="eastAsia" w:ascii="仿宋_GB2312" w:eastAsia="仿宋_GB2312"/>
          <w:b/>
          <w:sz w:val="32"/>
          <w:szCs w:val="32"/>
        </w:rPr>
        <w:t>宣传积极有效</w:t>
      </w:r>
    </w:p>
    <w:p>
      <w:pPr>
        <w:pageBreakBefore w:val="0"/>
        <w:kinsoku/>
        <w:wordWrap/>
        <w:overflowPunct/>
        <w:topLinePunct w:val="0"/>
        <w:bidi w:val="0"/>
        <w:spacing w:beforeLines="0" w:afterLines="0" w:line="480" w:lineRule="exact"/>
        <w:ind w:firstLine="640" w:firstLineChars="200"/>
        <w:jc w:val="left"/>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一是充分利用各类资源。在州内5处公路大牌，在彭州沃尔玛超市LED大屏长期开展形象宣传工作；二是充分整合媒体资源。在重要节点集中进行“媒体轰炸”。通过置换方式在成都电梯轿厢内广告投放4周1400处；在成都电梯门LED广告投放2周3000处；网络、自媒体开展主题内容宣传报道2003条，全年直接浏览量近5979.51万次。其中在新浪微博单条最高浏览量达1729.6万次；三是与信息中心良性互动。提升宣传效果，并做好了景区媒体采访考察对接。四是安排专人负责网络舆情监测，并及时处理。五是强化景区自媒体宣传力度，官方微信全年推送信息255篇，平均每条文章的送达数为4217、平均图文页阅读数5144、平均分享转发数+收藏323。微信粉丝数量为16243人，比去年增涨24.7%。达古冰川官方微博阅读量达到3150.17人次；六是安排专人对景区主题营销活动和重要节庆活动影像资料的拍摄、收集和整理工作。</w:t>
      </w:r>
    </w:p>
    <w:p>
      <w:pPr>
        <w:pStyle w:val="38"/>
        <w:pageBreakBefore w:val="0"/>
        <w:kinsoku/>
        <w:wordWrap/>
        <w:overflowPunct/>
        <w:topLinePunct w:val="0"/>
        <w:bidi w:val="0"/>
        <w:spacing w:beforeLines="0" w:afterLines="0" w:line="480" w:lineRule="exact"/>
        <w:jc w:val="left"/>
        <w:rPr>
          <w:rFonts w:hint="eastAsia" w:ascii="仿宋_GB2312" w:eastAsia="仿宋_GB2312"/>
          <w:b/>
          <w:sz w:val="32"/>
          <w:szCs w:val="32"/>
        </w:rPr>
      </w:pPr>
      <w:r>
        <w:rPr>
          <w:rFonts w:hint="eastAsia" w:ascii="仿宋_GB2312" w:eastAsia="仿宋_GB2312"/>
          <w:b/>
          <w:sz w:val="32"/>
          <w:szCs w:val="32"/>
        </w:rPr>
        <w:t>5.跨界营销多元创新</w:t>
      </w:r>
    </w:p>
    <w:p>
      <w:pPr>
        <w:pageBreakBefore w:val="0"/>
        <w:kinsoku/>
        <w:wordWrap/>
        <w:overflowPunct/>
        <w:topLinePunct w:val="0"/>
        <w:bidi w:val="0"/>
        <w:spacing w:beforeLines="0" w:afterLines="0" w:line="480" w:lineRule="exact"/>
        <w:ind w:firstLine="640" w:firstLineChars="200"/>
        <w:jc w:val="left"/>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一是积极对接争取成为重要影片及广告片的取景地。包括院线电影《追风少年》等，二是积极应用“网红”直播营销手段有效提升景区曝光率。</w:t>
      </w:r>
    </w:p>
    <w:p>
      <w:pPr>
        <w:pStyle w:val="40"/>
        <w:pageBreakBefore w:val="0"/>
        <w:kinsoku/>
        <w:wordWrap/>
        <w:overflowPunct/>
        <w:topLinePunct w:val="0"/>
        <w:bidi w:val="0"/>
        <w:spacing w:beforeLines="0" w:afterLines="0" w:line="480" w:lineRule="exact"/>
        <w:ind w:firstLine="643" w:firstLineChars="200"/>
        <w:rPr>
          <w:rFonts w:hint="eastAsia" w:ascii="楷体_GB2312" w:eastAsia="楷体_GB2312" w:cs="楷体_GB2312"/>
          <w:b/>
          <w:sz w:val="32"/>
          <w:szCs w:val="32"/>
        </w:rPr>
      </w:pPr>
      <w:r>
        <w:rPr>
          <w:rFonts w:hint="eastAsia" w:ascii="楷体_GB2312" w:eastAsia="楷体_GB2312" w:cs="楷体_GB2312"/>
          <w:b/>
          <w:sz w:val="32"/>
          <w:szCs w:val="32"/>
        </w:rPr>
        <w:t>（二）项目效益情况</w:t>
      </w:r>
    </w:p>
    <w:p>
      <w:pPr>
        <w:pStyle w:val="40"/>
        <w:pageBreakBefore w:val="0"/>
        <w:numPr>
          <w:ilvl w:val="0"/>
          <w:numId w:val="0"/>
        </w:numPr>
        <w:kinsoku/>
        <w:wordWrap/>
        <w:overflowPunct/>
        <w:topLinePunct w:val="0"/>
        <w:bidi w:val="0"/>
        <w:spacing w:beforeLines="0" w:afterLines="0" w:line="480" w:lineRule="exact"/>
        <w:ind w:firstLine="640" w:firstLineChars="200"/>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1.游客接待量</w:t>
      </w:r>
    </w:p>
    <w:p>
      <w:pPr>
        <w:pStyle w:val="40"/>
        <w:pageBreakBefore w:val="0"/>
        <w:numPr>
          <w:ilvl w:val="0"/>
          <w:numId w:val="0"/>
        </w:numPr>
        <w:kinsoku/>
        <w:wordWrap/>
        <w:overflowPunct/>
        <w:topLinePunct w:val="0"/>
        <w:bidi w:val="0"/>
        <w:spacing w:beforeLines="0" w:afterLines="0" w:line="480" w:lineRule="exact"/>
        <w:ind w:firstLine="640" w:firstLineChars="200"/>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全年共接待游客22人次，同比增长69.79%，实现直接收入5341.50万元，同比增长114.86%，其中门票收入1226.15万元，同比增长96.08% ，实现景观游览人次及收入的新突破。门票收入再次突破千万元大关。</w:t>
      </w:r>
    </w:p>
    <w:p>
      <w:pPr>
        <w:pStyle w:val="40"/>
        <w:pageBreakBefore w:val="0"/>
        <w:numPr>
          <w:ilvl w:val="0"/>
          <w:numId w:val="0"/>
        </w:numPr>
        <w:kinsoku/>
        <w:wordWrap/>
        <w:overflowPunct/>
        <w:topLinePunct w:val="0"/>
        <w:bidi w:val="0"/>
        <w:spacing w:beforeLines="0" w:afterLines="0" w:line="480" w:lineRule="exact"/>
        <w:ind w:firstLine="640" w:firstLineChars="200"/>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2.开展营销活动对当地经济拉动情况</w:t>
      </w:r>
    </w:p>
    <w:p>
      <w:pPr>
        <w:pStyle w:val="40"/>
        <w:pageBreakBefore w:val="0"/>
        <w:numPr>
          <w:ilvl w:val="0"/>
          <w:numId w:val="0"/>
        </w:numPr>
        <w:kinsoku/>
        <w:wordWrap/>
        <w:overflowPunct/>
        <w:topLinePunct w:val="0"/>
        <w:bidi w:val="0"/>
        <w:spacing w:beforeLines="0" w:afterLines="0" w:line="480" w:lineRule="exact"/>
        <w:ind w:firstLine="640" w:firstLineChars="200"/>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一是元旦举办“零度音乐会”，活动实现元旦节三天共接待游客4000人次，景区直接收入超过70万元，对县域经济收入带动超过100万元。二是春节举办“游冬日达古、过藏家新年”的主题活动，黄金周7天累计接待游客8630人次，游客数量、综合收入均创同期历史新高。三是与黑水县政府联合举办了“2020年第八届冰川彩林·生态文化旅游季”，开幕式当天接待游客1716人次，景区直接收入超过43万元，对县域经济收入带动超过200万元。整个彩林季景区共接待游客43400人次，景区实现收入超过1215万元，对县域经济收入带动超过1800万。</w:t>
      </w:r>
    </w:p>
    <w:p>
      <w:pPr>
        <w:pageBreakBefore w:val="0"/>
        <w:kinsoku/>
        <w:wordWrap/>
        <w:overflowPunct/>
        <w:topLinePunct w:val="0"/>
        <w:bidi w:val="0"/>
        <w:spacing w:beforeLines="0" w:afterLines="0" w:line="480" w:lineRule="exact"/>
        <w:ind w:firstLine="640" w:firstLineChars="200"/>
        <w:rPr>
          <w:rFonts w:hint="eastAsia" w:ascii="黑体" w:eastAsia="黑体" w:cs="黑体"/>
          <w:sz w:val="32"/>
          <w:szCs w:val="32"/>
        </w:rPr>
      </w:pPr>
      <w:r>
        <w:rPr>
          <w:rFonts w:hint="eastAsia" w:ascii="黑体" w:eastAsia="黑体" w:cs="黑体"/>
          <w:sz w:val="32"/>
          <w:szCs w:val="32"/>
        </w:rPr>
        <w:t>四、问题及建议</w:t>
      </w:r>
    </w:p>
    <w:p>
      <w:pPr>
        <w:pageBreakBefore w:val="0"/>
        <w:kinsoku/>
        <w:wordWrap/>
        <w:overflowPunct/>
        <w:topLinePunct w:val="0"/>
        <w:bidi w:val="0"/>
        <w:spacing w:beforeLines="0" w:afterLines="0" w:line="480" w:lineRule="exact"/>
        <w:ind w:firstLine="643" w:firstLineChars="200"/>
        <w:rPr>
          <w:rFonts w:hint="eastAsia" w:ascii="楷体_GB2312" w:eastAsia="楷体_GB2312" w:cs="楷体_GB2312"/>
          <w:b/>
          <w:sz w:val="32"/>
          <w:szCs w:val="32"/>
        </w:rPr>
      </w:pPr>
      <w:r>
        <w:rPr>
          <w:rFonts w:hint="eastAsia" w:ascii="楷体_GB2312" w:eastAsia="楷体_GB2312" w:cs="楷体_GB2312"/>
          <w:b/>
          <w:sz w:val="32"/>
          <w:szCs w:val="32"/>
        </w:rPr>
        <w:t xml:space="preserve">（一）存在的问题 </w:t>
      </w:r>
    </w:p>
    <w:p>
      <w:pPr>
        <w:pStyle w:val="38"/>
        <w:pageBreakBefore w:val="0"/>
        <w:kinsoku/>
        <w:wordWrap/>
        <w:overflowPunct/>
        <w:topLinePunct w:val="0"/>
        <w:bidi w:val="0"/>
        <w:spacing w:beforeLines="0" w:afterLines="0" w:line="480" w:lineRule="exact"/>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1.资金短缺，在各类活动投入不足导致活动不能完全达到预期最佳效果。</w:t>
      </w:r>
    </w:p>
    <w:p>
      <w:pPr>
        <w:pStyle w:val="38"/>
        <w:pageBreakBefore w:val="0"/>
        <w:kinsoku/>
        <w:wordWrap/>
        <w:overflowPunct/>
        <w:topLinePunct w:val="0"/>
        <w:bidi w:val="0"/>
        <w:spacing w:beforeLines="0" w:afterLines="0" w:line="480" w:lineRule="exact"/>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2.广告缺失，基本没有广告投放。</w:t>
      </w:r>
    </w:p>
    <w:p>
      <w:pPr>
        <w:pStyle w:val="38"/>
        <w:pageBreakBefore w:val="0"/>
        <w:kinsoku/>
        <w:wordWrap/>
        <w:overflowPunct/>
        <w:topLinePunct w:val="0"/>
        <w:bidi w:val="0"/>
        <w:spacing w:beforeLines="0" w:afterLines="0" w:line="480" w:lineRule="exact"/>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3.区域合作度低。</w:t>
      </w:r>
    </w:p>
    <w:p>
      <w:pPr>
        <w:pStyle w:val="38"/>
        <w:pageBreakBefore w:val="0"/>
        <w:kinsoku/>
        <w:wordWrap/>
        <w:overflowPunct/>
        <w:topLinePunct w:val="0"/>
        <w:bidi w:val="0"/>
        <w:spacing w:beforeLines="0" w:afterLines="0" w:line="480" w:lineRule="exact"/>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4.票务价格偏高，价格体系不灵活。</w:t>
      </w:r>
    </w:p>
    <w:p>
      <w:pPr>
        <w:pStyle w:val="38"/>
        <w:pageBreakBefore w:val="0"/>
        <w:kinsoku/>
        <w:wordWrap/>
        <w:overflowPunct/>
        <w:topLinePunct w:val="0"/>
        <w:bidi w:val="0"/>
        <w:spacing w:beforeLines="0" w:afterLines="0" w:line="480" w:lineRule="exact"/>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5.道路交通有待改进。</w:t>
      </w:r>
    </w:p>
    <w:p>
      <w:pPr>
        <w:pStyle w:val="38"/>
        <w:pageBreakBefore w:val="0"/>
        <w:kinsoku/>
        <w:wordWrap/>
        <w:overflowPunct/>
        <w:topLinePunct w:val="0"/>
        <w:bidi w:val="0"/>
        <w:spacing w:beforeLines="0" w:afterLines="0" w:line="480" w:lineRule="exact"/>
        <w:rPr>
          <w:rFonts w:hint="eastAsia" w:ascii="楷体_GB2312" w:eastAsia="楷体_GB2312" w:cs="楷体_GB2312"/>
          <w:b/>
          <w:sz w:val="32"/>
          <w:szCs w:val="32"/>
        </w:rPr>
      </w:pPr>
      <w:r>
        <w:rPr>
          <w:rFonts w:hint="eastAsia" w:ascii="楷体_GB2312" w:eastAsia="楷体_GB2312" w:cs="楷体_GB2312"/>
          <w:b/>
          <w:sz w:val="32"/>
          <w:szCs w:val="32"/>
        </w:rPr>
        <w:t>（二）相关建议</w:t>
      </w:r>
    </w:p>
    <w:p>
      <w:pPr>
        <w:pageBreakBefore w:val="0"/>
        <w:kinsoku/>
        <w:wordWrap/>
        <w:overflowPunct/>
        <w:topLinePunct w:val="0"/>
        <w:bidi w:val="0"/>
        <w:spacing w:beforeLines="0" w:afterLines="0" w:line="480" w:lineRule="exact"/>
        <w:ind w:firstLine="645"/>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1.增加营销费用。</w:t>
      </w:r>
    </w:p>
    <w:p>
      <w:pPr>
        <w:pageBreakBefore w:val="0"/>
        <w:kinsoku/>
        <w:wordWrap/>
        <w:overflowPunct/>
        <w:topLinePunct w:val="0"/>
        <w:bidi w:val="0"/>
        <w:spacing w:beforeLines="0" w:afterLines="0" w:line="480" w:lineRule="exact"/>
        <w:ind w:firstLine="645"/>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2.增加区域合作。</w:t>
      </w:r>
    </w:p>
    <w:p>
      <w:pPr>
        <w:keepNext w:val="0"/>
        <w:keepLines w:val="0"/>
        <w:pageBreakBefore w:val="0"/>
        <w:widowControl w:val="0"/>
        <w:tabs>
          <w:tab w:val="left" w:pos="1056"/>
        </w:tabs>
        <w:kinsoku/>
        <w:wordWrap/>
        <w:overflowPunct/>
        <w:topLinePunct w:val="0"/>
        <w:autoSpaceDE/>
        <w:autoSpaceDN/>
        <w:bidi w:val="0"/>
        <w:adjustRightInd/>
        <w:snapToGrid w:val="0"/>
        <w:spacing w:line="480" w:lineRule="exact"/>
        <w:ind w:firstLine="640" w:firstLineChars="200"/>
        <w:textAlignment w:val="auto"/>
        <w:outlineLvl w:val="9"/>
        <w:rPr>
          <w:rFonts w:hint="eastAsia" w:ascii="仿宋" w:eastAsia="仿宋" w:cs="仿宋" w:hAnsiTheme="minorHAnsi"/>
          <w:color w:val="auto"/>
          <w:kern w:val="2"/>
          <w:sz w:val="32"/>
          <w:szCs w:val="32"/>
          <w:shd w:val="solid" w:color="FFFFFF" w:fill="FFFFFF"/>
          <w:lang w:val="en-US" w:eastAsia="zh-CN" w:bidi="ar-SA"/>
        </w:rPr>
      </w:pPr>
      <w:r>
        <w:rPr>
          <w:rFonts w:hint="eastAsia" w:ascii="仿宋" w:eastAsia="仿宋" w:cs="仿宋" w:hAnsiTheme="minorHAnsi"/>
          <w:color w:val="auto"/>
          <w:kern w:val="2"/>
          <w:sz w:val="32"/>
          <w:szCs w:val="32"/>
          <w:shd w:val="solid" w:color="FFFFFF" w:fill="FFFFFF"/>
          <w:lang w:val="en-US" w:eastAsia="zh-CN" w:bidi="ar-SA"/>
        </w:rPr>
        <w:t>3.增强票务价格竞争力，增强票务自主机制。</w:t>
      </w:r>
    </w:p>
    <w:p>
      <w:pPr>
        <w:keepNext w:val="0"/>
        <w:keepLines w:val="0"/>
        <w:pageBreakBefore w:val="0"/>
        <w:widowControl w:val="0"/>
        <w:kinsoku/>
        <w:wordWrap/>
        <w:overflowPunct/>
        <w:topLinePunct w:val="0"/>
        <w:autoSpaceDE/>
        <w:autoSpaceDN/>
        <w:bidi w:val="0"/>
        <w:adjustRightInd/>
        <w:snapToGrid w:val="0"/>
        <w:spacing w:line="480" w:lineRule="exact"/>
        <w:ind w:left="420" w:leftChars="200" w:firstLine="640" w:firstLineChars="200"/>
        <w:textAlignment w:val="auto"/>
        <w:outlineLvl w:val="9"/>
        <w:rPr>
          <w:rFonts w:hint="eastAsia" w:ascii="仿宋" w:eastAsia="仿宋" w:cs="仿宋" w:hAnsiTheme="minorHAnsi"/>
          <w:color w:val="auto"/>
          <w:kern w:val="2"/>
          <w:sz w:val="32"/>
          <w:szCs w:val="32"/>
          <w:shd w:val="solid" w:color="FFFFFF" w:fill="FFFFFF"/>
          <w:lang w:val="en-US" w:eastAsia="zh-CN" w:bidi="ar-SA"/>
        </w:rPr>
      </w:pPr>
    </w:p>
    <w:p>
      <w:pPr>
        <w:pageBreakBefore w:val="0"/>
        <w:kinsoku/>
        <w:wordWrap/>
        <w:overflowPunct/>
        <w:topLinePunct w:val="0"/>
        <w:bidi w:val="0"/>
        <w:spacing w:line="480" w:lineRule="exact"/>
        <w:jc w:val="center"/>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center"/>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center"/>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center"/>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both"/>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both"/>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both"/>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both"/>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both"/>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both"/>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both"/>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both"/>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both"/>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both"/>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both"/>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both"/>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center"/>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center"/>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center"/>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center"/>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center"/>
        <w:outlineLvl w:val="0"/>
        <w:rPr>
          <w:rFonts w:hint="eastAsia" w:ascii="黑体" w:hAnsi="黑体" w:eastAsia="黑体"/>
          <w:color w:val="000000"/>
          <w:sz w:val="44"/>
          <w:szCs w:val="44"/>
        </w:rPr>
      </w:pPr>
    </w:p>
    <w:p>
      <w:pPr>
        <w:pageBreakBefore w:val="0"/>
        <w:kinsoku/>
        <w:wordWrap/>
        <w:overflowPunct/>
        <w:topLinePunct w:val="0"/>
        <w:bidi w:val="0"/>
        <w:spacing w:line="480" w:lineRule="exact"/>
        <w:jc w:val="center"/>
        <w:outlineLvl w:val="0"/>
        <w:rPr>
          <w:rStyle w:val="23"/>
          <w:rFonts w:hint="eastAsia" w:ascii="黑体" w:hAnsi="黑体" w:eastAsia="黑体"/>
          <w:b w:val="0"/>
        </w:rPr>
      </w:pPr>
      <w:r>
        <w:rPr>
          <w:rFonts w:hint="eastAsia" w:ascii="黑体" w:hAnsi="黑体" w:eastAsia="黑体"/>
          <w:color w:val="000000"/>
          <w:sz w:val="44"/>
          <w:szCs w:val="44"/>
        </w:rPr>
        <w:t>第</w:t>
      </w:r>
      <w:r>
        <w:rPr>
          <w:rStyle w:val="23"/>
          <w:rFonts w:hint="eastAsia" w:ascii="黑体" w:hAnsi="黑体" w:eastAsia="黑体"/>
          <w:b w:val="0"/>
        </w:rPr>
        <w:t>五部分</w:t>
      </w:r>
      <w:r>
        <w:rPr>
          <w:rStyle w:val="23"/>
          <w:rFonts w:ascii="黑体" w:hAnsi="黑体" w:eastAsia="黑体"/>
          <w:b w:val="0"/>
        </w:rPr>
        <w:t xml:space="preserve"> </w:t>
      </w:r>
      <w:r>
        <w:rPr>
          <w:rStyle w:val="23"/>
          <w:rFonts w:hint="eastAsia" w:ascii="黑体" w:hAnsi="黑体" w:eastAsia="黑体"/>
          <w:b w:val="0"/>
        </w:rPr>
        <w:t>附表</w:t>
      </w:r>
      <w:bookmarkEnd w:id="112"/>
      <w:bookmarkEnd w:id="117"/>
      <w:bookmarkEnd w:id="118"/>
      <w:bookmarkEnd w:id="119"/>
    </w:p>
    <w:p>
      <w:pPr>
        <w:pageBreakBefore w:val="0"/>
        <w:kinsoku/>
        <w:wordWrap/>
        <w:overflowPunct/>
        <w:topLinePunct w:val="0"/>
        <w:bidi w:val="0"/>
        <w:spacing w:line="480" w:lineRule="exact"/>
        <w:jc w:val="center"/>
        <w:outlineLvl w:val="0"/>
        <w:rPr>
          <w:rStyle w:val="23"/>
          <w:rFonts w:hint="eastAsia" w:ascii="黑体" w:hAnsi="黑体" w:eastAsia="黑体"/>
          <w:b w:val="0"/>
        </w:rPr>
      </w:pPr>
    </w:p>
    <w:p>
      <w:pPr>
        <w:pStyle w:val="3"/>
        <w:pageBreakBefore w:val="0"/>
        <w:kinsoku/>
        <w:wordWrap/>
        <w:overflowPunct/>
        <w:topLinePunct w:val="0"/>
        <w:bidi w:val="0"/>
        <w:spacing w:before="0" w:after="0" w:line="480" w:lineRule="exact"/>
        <w:rPr>
          <w:rFonts w:ascii="仿宋" w:hAnsi="仿宋" w:eastAsia="仿宋"/>
          <w:color w:val="000000"/>
        </w:rPr>
      </w:pPr>
      <w:bookmarkStart w:id="120" w:name="_Toc79163886"/>
      <w:bookmarkStart w:id="121" w:name="_Toc15396619"/>
      <w:bookmarkStart w:id="122" w:name="_Toc79163636"/>
      <w:r>
        <w:rPr>
          <w:rFonts w:hint="eastAsia" w:ascii="仿宋" w:hAnsi="仿宋" w:eastAsia="仿宋"/>
          <w:b w:val="0"/>
          <w:color w:val="000000"/>
        </w:rPr>
        <w:t>一、收</w:t>
      </w:r>
      <w:r>
        <w:rPr>
          <w:rStyle w:val="24"/>
          <w:rFonts w:hint="eastAsia" w:ascii="仿宋" w:hAnsi="仿宋" w:eastAsia="仿宋"/>
          <w:b w:val="0"/>
          <w:bCs w:val="0"/>
        </w:rPr>
        <w:t>入支出决算总表</w:t>
      </w:r>
      <w:bookmarkEnd w:id="120"/>
      <w:bookmarkEnd w:id="121"/>
      <w:bookmarkEnd w:id="122"/>
    </w:p>
    <w:p>
      <w:pPr>
        <w:pStyle w:val="3"/>
        <w:pageBreakBefore w:val="0"/>
        <w:kinsoku/>
        <w:wordWrap/>
        <w:overflowPunct/>
        <w:topLinePunct w:val="0"/>
        <w:bidi w:val="0"/>
        <w:spacing w:before="0" w:after="0" w:line="480" w:lineRule="exact"/>
        <w:rPr>
          <w:rFonts w:ascii="仿宋" w:hAnsi="仿宋" w:eastAsia="仿宋"/>
          <w:color w:val="000000"/>
        </w:rPr>
      </w:pPr>
      <w:bookmarkStart w:id="123" w:name="_Toc79163887"/>
      <w:bookmarkStart w:id="124" w:name="_Toc79163637"/>
      <w:bookmarkStart w:id="125" w:name="_Toc15396620"/>
      <w:r>
        <w:rPr>
          <w:rFonts w:hint="eastAsia" w:ascii="仿宋" w:hAnsi="仿宋" w:eastAsia="仿宋"/>
          <w:b w:val="0"/>
          <w:color w:val="000000"/>
        </w:rPr>
        <w:t>二、收</w:t>
      </w:r>
      <w:r>
        <w:rPr>
          <w:rStyle w:val="24"/>
          <w:rFonts w:hint="eastAsia" w:ascii="仿宋" w:hAnsi="仿宋" w:eastAsia="仿宋"/>
          <w:b w:val="0"/>
          <w:bCs w:val="0"/>
        </w:rPr>
        <w:t>入决算表</w:t>
      </w:r>
      <w:bookmarkEnd w:id="123"/>
      <w:bookmarkEnd w:id="124"/>
      <w:bookmarkEnd w:id="125"/>
    </w:p>
    <w:p>
      <w:pPr>
        <w:pStyle w:val="3"/>
        <w:pageBreakBefore w:val="0"/>
        <w:kinsoku/>
        <w:wordWrap/>
        <w:overflowPunct/>
        <w:topLinePunct w:val="0"/>
        <w:bidi w:val="0"/>
        <w:spacing w:before="0" w:after="0" w:line="480" w:lineRule="exact"/>
        <w:rPr>
          <w:rFonts w:ascii="仿宋" w:hAnsi="仿宋" w:eastAsia="仿宋"/>
          <w:color w:val="000000"/>
        </w:rPr>
      </w:pPr>
      <w:bookmarkStart w:id="126" w:name="_Toc79163638"/>
      <w:bookmarkStart w:id="127" w:name="_Toc15396621"/>
      <w:bookmarkStart w:id="128" w:name="_Toc79163888"/>
      <w:r>
        <w:rPr>
          <w:rStyle w:val="24"/>
          <w:rFonts w:hint="eastAsia" w:ascii="仿宋" w:hAnsi="仿宋" w:eastAsia="仿宋"/>
          <w:b w:val="0"/>
          <w:bCs w:val="0"/>
        </w:rPr>
        <w:t>三、</w:t>
      </w:r>
      <w:r>
        <w:rPr>
          <w:rFonts w:hint="eastAsia" w:ascii="仿宋" w:hAnsi="仿宋" w:eastAsia="仿宋"/>
          <w:b w:val="0"/>
          <w:color w:val="000000"/>
        </w:rPr>
        <w:t>支</w:t>
      </w:r>
      <w:r>
        <w:rPr>
          <w:rStyle w:val="24"/>
          <w:rFonts w:hint="eastAsia" w:ascii="仿宋" w:hAnsi="仿宋" w:eastAsia="仿宋"/>
          <w:b w:val="0"/>
          <w:bCs w:val="0"/>
        </w:rPr>
        <w:t>出决算表</w:t>
      </w:r>
      <w:bookmarkEnd w:id="126"/>
      <w:bookmarkEnd w:id="127"/>
      <w:bookmarkEnd w:id="128"/>
    </w:p>
    <w:p>
      <w:pPr>
        <w:pStyle w:val="3"/>
        <w:pageBreakBefore w:val="0"/>
        <w:kinsoku/>
        <w:wordWrap/>
        <w:overflowPunct/>
        <w:topLinePunct w:val="0"/>
        <w:bidi w:val="0"/>
        <w:spacing w:before="0" w:after="0" w:line="480" w:lineRule="exact"/>
        <w:rPr>
          <w:rFonts w:ascii="仿宋" w:hAnsi="仿宋" w:eastAsia="仿宋"/>
          <w:b w:val="0"/>
          <w:color w:val="000000"/>
        </w:rPr>
      </w:pPr>
      <w:bookmarkStart w:id="129" w:name="_Toc79163889"/>
      <w:bookmarkStart w:id="130" w:name="_Toc79163639"/>
      <w:bookmarkStart w:id="131" w:name="_Toc15396622"/>
      <w:r>
        <w:rPr>
          <w:rStyle w:val="24"/>
          <w:rFonts w:hint="eastAsia" w:ascii="仿宋" w:hAnsi="仿宋" w:eastAsia="仿宋"/>
          <w:b w:val="0"/>
          <w:bCs w:val="0"/>
        </w:rPr>
        <w:t>四、</w:t>
      </w:r>
      <w:r>
        <w:rPr>
          <w:rFonts w:hint="eastAsia" w:ascii="仿宋" w:hAnsi="仿宋" w:eastAsia="仿宋"/>
          <w:b w:val="0"/>
          <w:color w:val="000000"/>
        </w:rPr>
        <w:t>财</w:t>
      </w:r>
      <w:r>
        <w:rPr>
          <w:rStyle w:val="24"/>
          <w:rFonts w:hint="eastAsia" w:ascii="仿宋" w:hAnsi="仿宋" w:eastAsia="仿宋"/>
          <w:b w:val="0"/>
          <w:bCs w:val="0"/>
        </w:rPr>
        <w:t>政拨款收入支出决算总表</w:t>
      </w:r>
      <w:bookmarkEnd w:id="129"/>
      <w:bookmarkEnd w:id="130"/>
      <w:bookmarkEnd w:id="131"/>
    </w:p>
    <w:p>
      <w:pPr>
        <w:pStyle w:val="3"/>
        <w:pageBreakBefore w:val="0"/>
        <w:kinsoku/>
        <w:wordWrap/>
        <w:overflowPunct/>
        <w:topLinePunct w:val="0"/>
        <w:bidi w:val="0"/>
        <w:spacing w:before="0" w:after="0" w:line="480" w:lineRule="exact"/>
        <w:rPr>
          <w:rStyle w:val="24"/>
          <w:rFonts w:ascii="仿宋" w:hAnsi="仿宋" w:eastAsia="仿宋"/>
          <w:b w:val="0"/>
          <w:bCs w:val="0"/>
        </w:rPr>
      </w:pPr>
      <w:bookmarkStart w:id="132" w:name="_Toc15396623"/>
      <w:bookmarkStart w:id="133" w:name="_Toc79163890"/>
      <w:bookmarkStart w:id="134" w:name="_Toc79163640"/>
      <w:r>
        <w:rPr>
          <w:rStyle w:val="24"/>
          <w:rFonts w:hint="eastAsia" w:ascii="仿宋" w:hAnsi="仿宋" w:eastAsia="仿宋"/>
          <w:b w:val="0"/>
          <w:bCs w:val="0"/>
        </w:rPr>
        <w:t>五、</w:t>
      </w:r>
      <w:r>
        <w:rPr>
          <w:rFonts w:hint="eastAsia" w:ascii="仿宋" w:hAnsi="仿宋" w:eastAsia="仿宋"/>
          <w:b w:val="0"/>
          <w:color w:val="000000"/>
        </w:rPr>
        <w:t>财</w:t>
      </w:r>
      <w:r>
        <w:rPr>
          <w:rStyle w:val="24"/>
          <w:rFonts w:hint="eastAsia" w:ascii="仿宋" w:hAnsi="仿宋" w:eastAsia="仿宋"/>
          <w:b w:val="0"/>
          <w:bCs w:val="0"/>
        </w:rPr>
        <w:t>政拨款支出决算明细表</w:t>
      </w:r>
      <w:bookmarkEnd w:id="132"/>
      <w:bookmarkEnd w:id="133"/>
      <w:bookmarkEnd w:id="134"/>
      <w:bookmarkStart w:id="135" w:name="_Toc15396624"/>
    </w:p>
    <w:p>
      <w:pPr>
        <w:pStyle w:val="3"/>
        <w:pageBreakBefore w:val="0"/>
        <w:kinsoku/>
        <w:wordWrap/>
        <w:overflowPunct/>
        <w:topLinePunct w:val="0"/>
        <w:bidi w:val="0"/>
        <w:spacing w:before="0" w:after="0" w:line="480" w:lineRule="exact"/>
        <w:rPr>
          <w:rFonts w:ascii="仿宋" w:hAnsi="仿宋" w:eastAsia="仿宋"/>
          <w:color w:val="000000"/>
        </w:rPr>
      </w:pPr>
      <w:bookmarkStart w:id="136" w:name="_Toc79163891"/>
      <w:bookmarkStart w:id="137" w:name="_Toc79163641"/>
      <w:r>
        <w:rPr>
          <w:rStyle w:val="24"/>
          <w:rFonts w:hint="eastAsia" w:ascii="仿宋" w:hAnsi="仿宋" w:eastAsia="仿宋"/>
          <w:b w:val="0"/>
          <w:bCs w:val="0"/>
        </w:rPr>
        <w:t>六、</w:t>
      </w:r>
      <w:r>
        <w:rPr>
          <w:rFonts w:hint="eastAsia" w:ascii="仿宋" w:hAnsi="仿宋" w:eastAsia="仿宋"/>
          <w:b w:val="0"/>
          <w:color w:val="000000"/>
        </w:rPr>
        <w:t>一</w:t>
      </w:r>
      <w:r>
        <w:rPr>
          <w:rStyle w:val="24"/>
          <w:rFonts w:hint="eastAsia" w:ascii="仿宋" w:hAnsi="仿宋" w:eastAsia="仿宋"/>
          <w:b w:val="0"/>
          <w:bCs w:val="0"/>
        </w:rPr>
        <w:t>般公共预算财政拨款支出决算表</w:t>
      </w:r>
      <w:bookmarkEnd w:id="135"/>
      <w:bookmarkEnd w:id="136"/>
      <w:bookmarkEnd w:id="137"/>
    </w:p>
    <w:p>
      <w:pPr>
        <w:pStyle w:val="3"/>
        <w:pageBreakBefore w:val="0"/>
        <w:kinsoku/>
        <w:wordWrap/>
        <w:overflowPunct/>
        <w:topLinePunct w:val="0"/>
        <w:bidi w:val="0"/>
        <w:spacing w:before="0" w:after="0" w:line="480" w:lineRule="exact"/>
        <w:rPr>
          <w:rFonts w:ascii="仿宋" w:hAnsi="仿宋" w:eastAsia="仿宋"/>
          <w:color w:val="000000"/>
        </w:rPr>
      </w:pPr>
      <w:bookmarkStart w:id="138" w:name="_Toc15396625"/>
      <w:bookmarkStart w:id="139" w:name="_Toc79163892"/>
      <w:bookmarkStart w:id="140" w:name="_Toc79163642"/>
      <w:r>
        <w:rPr>
          <w:rStyle w:val="24"/>
          <w:rFonts w:hint="eastAsia" w:ascii="仿宋" w:hAnsi="仿宋" w:eastAsia="仿宋"/>
          <w:b w:val="0"/>
          <w:bCs w:val="0"/>
        </w:rPr>
        <w:t>七、</w:t>
      </w:r>
      <w:r>
        <w:rPr>
          <w:rFonts w:hint="eastAsia" w:ascii="仿宋" w:hAnsi="仿宋" w:eastAsia="仿宋"/>
          <w:b w:val="0"/>
          <w:color w:val="000000"/>
        </w:rPr>
        <w:t>一</w:t>
      </w:r>
      <w:r>
        <w:rPr>
          <w:rStyle w:val="24"/>
          <w:rFonts w:hint="eastAsia" w:ascii="仿宋" w:hAnsi="仿宋" w:eastAsia="仿宋"/>
          <w:b w:val="0"/>
          <w:bCs w:val="0"/>
        </w:rPr>
        <w:t>般公共预算财政拨款支出决算明细表</w:t>
      </w:r>
      <w:bookmarkEnd w:id="138"/>
      <w:bookmarkEnd w:id="139"/>
      <w:bookmarkEnd w:id="140"/>
    </w:p>
    <w:p>
      <w:pPr>
        <w:pStyle w:val="3"/>
        <w:pageBreakBefore w:val="0"/>
        <w:kinsoku/>
        <w:wordWrap/>
        <w:overflowPunct/>
        <w:topLinePunct w:val="0"/>
        <w:bidi w:val="0"/>
        <w:spacing w:before="0" w:after="0" w:line="480" w:lineRule="exact"/>
        <w:rPr>
          <w:rFonts w:ascii="仿宋" w:hAnsi="仿宋" w:eastAsia="仿宋"/>
          <w:color w:val="000000"/>
        </w:rPr>
      </w:pPr>
      <w:bookmarkStart w:id="141" w:name="_Toc15396626"/>
      <w:bookmarkStart w:id="142" w:name="_Toc79163643"/>
      <w:bookmarkStart w:id="143" w:name="_Toc79163893"/>
      <w:r>
        <w:rPr>
          <w:rStyle w:val="24"/>
          <w:rFonts w:hint="eastAsia" w:ascii="仿宋" w:hAnsi="仿宋" w:eastAsia="仿宋"/>
          <w:b w:val="0"/>
          <w:bCs w:val="0"/>
        </w:rPr>
        <w:t>八、</w:t>
      </w:r>
      <w:r>
        <w:rPr>
          <w:rFonts w:hint="eastAsia" w:ascii="仿宋" w:hAnsi="仿宋" w:eastAsia="仿宋"/>
          <w:b w:val="0"/>
          <w:color w:val="000000"/>
        </w:rPr>
        <w:t>一</w:t>
      </w:r>
      <w:r>
        <w:rPr>
          <w:rStyle w:val="24"/>
          <w:rFonts w:hint="eastAsia" w:ascii="仿宋" w:hAnsi="仿宋" w:eastAsia="仿宋"/>
          <w:b w:val="0"/>
          <w:bCs w:val="0"/>
        </w:rPr>
        <w:t>般公共预算财政拨款基本支出决算表</w:t>
      </w:r>
      <w:bookmarkEnd w:id="141"/>
      <w:bookmarkEnd w:id="142"/>
      <w:bookmarkEnd w:id="143"/>
    </w:p>
    <w:p>
      <w:pPr>
        <w:pStyle w:val="3"/>
        <w:pageBreakBefore w:val="0"/>
        <w:kinsoku/>
        <w:wordWrap/>
        <w:overflowPunct/>
        <w:topLinePunct w:val="0"/>
        <w:bidi w:val="0"/>
        <w:spacing w:before="0" w:after="0" w:line="480" w:lineRule="exact"/>
        <w:rPr>
          <w:rFonts w:ascii="仿宋" w:hAnsi="仿宋" w:eastAsia="仿宋"/>
          <w:color w:val="000000"/>
        </w:rPr>
      </w:pPr>
      <w:bookmarkStart w:id="144" w:name="_Toc79163644"/>
      <w:bookmarkStart w:id="145" w:name="_Toc15396627"/>
      <w:bookmarkStart w:id="146" w:name="_Toc79163894"/>
      <w:r>
        <w:rPr>
          <w:rStyle w:val="24"/>
          <w:rFonts w:hint="eastAsia" w:ascii="仿宋" w:hAnsi="仿宋" w:eastAsia="仿宋"/>
          <w:b w:val="0"/>
          <w:bCs w:val="0"/>
        </w:rPr>
        <w:t>九、</w:t>
      </w:r>
      <w:r>
        <w:rPr>
          <w:rFonts w:hint="eastAsia" w:ascii="仿宋" w:hAnsi="仿宋" w:eastAsia="仿宋"/>
          <w:b w:val="0"/>
          <w:color w:val="000000"/>
        </w:rPr>
        <w:t>一</w:t>
      </w:r>
      <w:r>
        <w:rPr>
          <w:rStyle w:val="24"/>
          <w:rFonts w:hint="eastAsia" w:ascii="仿宋" w:hAnsi="仿宋" w:eastAsia="仿宋"/>
          <w:b w:val="0"/>
          <w:bCs w:val="0"/>
        </w:rPr>
        <w:t>般公共预算财政拨款项目支出决算表</w:t>
      </w:r>
      <w:bookmarkEnd w:id="144"/>
      <w:bookmarkEnd w:id="145"/>
      <w:bookmarkEnd w:id="146"/>
    </w:p>
    <w:p>
      <w:pPr>
        <w:pStyle w:val="3"/>
        <w:pageBreakBefore w:val="0"/>
        <w:kinsoku/>
        <w:wordWrap/>
        <w:overflowPunct/>
        <w:topLinePunct w:val="0"/>
        <w:bidi w:val="0"/>
        <w:spacing w:before="0" w:after="0" w:line="480" w:lineRule="exact"/>
        <w:rPr>
          <w:rFonts w:ascii="仿宋" w:hAnsi="仿宋" w:eastAsia="仿宋"/>
          <w:color w:val="000000"/>
        </w:rPr>
      </w:pPr>
      <w:bookmarkStart w:id="147" w:name="_Toc15396628"/>
      <w:bookmarkStart w:id="148" w:name="_Toc79163895"/>
      <w:bookmarkStart w:id="149" w:name="_Toc79163645"/>
      <w:r>
        <w:rPr>
          <w:rStyle w:val="24"/>
          <w:rFonts w:hint="eastAsia" w:ascii="仿宋" w:hAnsi="仿宋" w:eastAsia="仿宋"/>
          <w:b w:val="0"/>
          <w:bCs w:val="0"/>
        </w:rPr>
        <w:t>十、</w:t>
      </w:r>
      <w:r>
        <w:rPr>
          <w:rFonts w:hint="eastAsia" w:ascii="仿宋" w:hAnsi="仿宋" w:eastAsia="仿宋"/>
          <w:b w:val="0"/>
          <w:color w:val="000000"/>
        </w:rPr>
        <w:t>一</w:t>
      </w:r>
      <w:r>
        <w:rPr>
          <w:rStyle w:val="24"/>
          <w:rFonts w:hint="eastAsia" w:ascii="仿宋" w:hAnsi="仿宋" w:eastAsia="仿宋"/>
          <w:b w:val="0"/>
          <w:bCs w:val="0"/>
        </w:rPr>
        <w:t>般公共预算财政拨款“三公”经费支出决算表</w:t>
      </w:r>
      <w:bookmarkEnd w:id="147"/>
      <w:bookmarkEnd w:id="148"/>
      <w:bookmarkEnd w:id="149"/>
    </w:p>
    <w:p>
      <w:pPr>
        <w:pStyle w:val="3"/>
        <w:pageBreakBefore w:val="0"/>
        <w:kinsoku/>
        <w:wordWrap/>
        <w:overflowPunct/>
        <w:topLinePunct w:val="0"/>
        <w:bidi w:val="0"/>
        <w:spacing w:before="0" w:after="0" w:line="480" w:lineRule="exact"/>
        <w:rPr>
          <w:rFonts w:ascii="仿宋" w:hAnsi="仿宋" w:eastAsia="仿宋"/>
          <w:color w:val="000000"/>
        </w:rPr>
      </w:pPr>
      <w:bookmarkStart w:id="150" w:name="_Toc79163646"/>
      <w:bookmarkStart w:id="151" w:name="_Toc79163896"/>
      <w:bookmarkStart w:id="152" w:name="_Toc15396629"/>
      <w:r>
        <w:rPr>
          <w:rStyle w:val="24"/>
          <w:rFonts w:hint="eastAsia" w:ascii="仿宋" w:hAnsi="仿宋" w:eastAsia="仿宋"/>
          <w:b w:val="0"/>
          <w:bCs w:val="0"/>
        </w:rPr>
        <w:t>十一、</w:t>
      </w:r>
      <w:r>
        <w:rPr>
          <w:rFonts w:hint="eastAsia" w:ascii="仿宋" w:hAnsi="仿宋" w:eastAsia="仿宋"/>
          <w:b w:val="0"/>
          <w:color w:val="000000"/>
        </w:rPr>
        <w:t>政</w:t>
      </w:r>
      <w:r>
        <w:rPr>
          <w:rStyle w:val="24"/>
          <w:rFonts w:hint="eastAsia" w:ascii="仿宋" w:hAnsi="仿宋" w:eastAsia="仿宋"/>
          <w:b w:val="0"/>
          <w:bCs w:val="0"/>
        </w:rPr>
        <w:t>府性基金预算财政拨款收入支出决算表</w:t>
      </w:r>
      <w:bookmarkEnd w:id="150"/>
      <w:bookmarkEnd w:id="151"/>
      <w:bookmarkEnd w:id="152"/>
    </w:p>
    <w:p>
      <w:pPr>
        <w:pStyle w:val="3"/>
        <w:pageBreakBefore w:val="0"/>
        <w:kinsoku/>
        <w:wordWrap/>
        <w:overflowPunct/>
        <w:topLinePunct w:val="0"/>
        <w:bidi w:val="0"/>
        <w:spacing w:before="0" w:after="0" w:line="480" w:lineRule="exact"/>
        <w:rPr>
          <w:rFonts w:ascii="仿宋" w:hAnsi="仿宋" w:eastAsia="仿宋"/>
          <w:color w:val="000000"/>
        </w:rPr>
      </w:pPr>
      <w:bookmarkStart w:id="153" w:name="_Toc79163647"/>
      <w:bookmarkStart w:id="154" w:name="_Toc15396630"/>
      <w:bookmarkStart w:id="155" w:name="_Toc79163897"/>
      <w:r>
        <w:rPr>
          <w:rStyle w:val="24"/>
          <w:rFonts w:hint="eastAsia" w:ascii="仿宋" w:hAnsi="仿宋" w:eastAsia="仿宋"/>
          <w:b w:val="0"/>
          <w:bCs w:val="0"/>
        </w:rPr>
        <w:t>十二、</w:t>
      </w:r>
      <w:r>
        <w:rPr>
          <w:rFonts w:hint="eastAsia" w:ascii="仿宋" w:hAnsi="仿宋" w:eastAsia="仿宋"/>
          <w:b w:val="0"/>
          <w:color w:val="000000"/>
        </w:rPr>
        <w:t>政</w:t>
      </w:r>
      <w:r>
        <w:rPr>
          <w:rStyle w:val="24"/>
          <w:rFonts w:hint="eastAsia" w:ascii="仿宋" w:hAnsi="仿宋" w:eastAsia="仿宋"/>
          <w:b w:val="0"/>
          <w:bCs w:val="0"/>
        </w:rPr>
        <w:t>府性基金预算财政拨款“三公”经费支出决算表</w:t>
      </w:r>
      <w:bookmarkEnd w:id="153"/>
      <w:bookmarkEnd w:id="154"/>
      <w:bookmarkEnd w:id="155"/>
    </w:p>
    <w:p>
      <w:pPr>
        <w:pStyle w:val="3"/>
        <w:pageBreakBefore w:val="0"/>
        <w:kinsoku/>
        <w:wordWrap/>
        <w:overflowPunct/>
        <w:topLinePunct w:val="0"/>
        <w:bidi w:val="0"/>
        <w:spacing w:before="0" w:after="0" w:line="480" w:lineRule="exact"/>
        <w:rPr>
          <w:rStyle w:val="24"/>
          <w:rFonts w:ascii="仿宋" w:hAnsi="仿宋" w:eastAsia="仿宋"/>
          <w:b w:val="0"/>
          <w:bCs w:val="0"/>
        </w:rPr>
      </w:pPr>
      <w:bookmarkStart w:id="156" w:name="_Toc79163648"/>
      <w:bookmarkStart w:id="157" w:name="_Toc79163898"/>
      <w:bookmarkStart w:id="158" w:name="_Toc15396631"/>
      <w:r>
        <w:rPr>
          <w:rStyle w:val="24"/>
          <w:rFonts w:hint="eastAsia" w:ascii="仿宋" w:hAnsi="仿宋" w:eastAsia="仿宋"/>
          <w:b w:val="0"/>
          <w:bCs w:val="0"/>
        </w:rPr>
        <w:t>十三、</w:t>
      </w:r>
      <w:r>
        <w:rPr>
          <w:rFonts w:hint="eastAsia" w:ascii="仿宋" w:hAnsi="仿宋" w:eastAsia="仿宋"/>
          <w:b w:val="0"/>
          <w:color w:val="000000"/>
        </w:rPr>
        <w:t>国</w:t>
      </w:r>
      <w:r>
        <w:rPr>
          <w:rStyle w:val="24"/>
          <w:rFonts w:hint="eastAsia" w:ascii="仿宋" w:hAnsi="仿宋" w:eastAsia="仿宋"/>
          <w:b w:val="0"/>
          <w:bCs w:val="0"/>
        </w:rPr>
        <w:t>有资本经营预算财政拨款支出决算表</w:t>
      </w:r>
      <w:bookmarkEnd w:id="156"/>
      <w:bookmarkEnd w:id="157"/>
      <w:bookmarkEnd w:id="158"/>
    </w:p>
    <w:p>
      <w:pPr>
        <w:pStyle w:val="3"/>
        <w:pageBreakBefore w:val="0"/>
        <w:kinsoku/>
        <w:wordWrap/>
        <w:overflowPunct/>
        <w:topLinePunct w:val="0"/>
        <w:bidi w:val="0"/>
        <w:spacing w:before="0" w:after="0" w:line="480" w:lineRule="exact"/>
        <w:rPr>
          <w:rStyle w:val="24"/>
          <w:rFonts w:ascii="仿宋" w:hAnsi="仿宋" w:eastAsia="仿宋"/>
          <w:b w:val="0"/>
          <w:bCs w:val="0"/>
        </w:rPr>
      </w:pPr>
      <w:bookmarkStart w:id="159" w:name="_Toc79163649"/>
      <w:bookmarkStart w:id="160" w:name="_Toc79163899"/>
      <w:r>
        <w:rPr>
          <w:rStyle w:val="24"/>
          <w:rFonts w:hint="eastAsia" w:ascii="仿宋" w:hAnsi="仿宋" w:eastAsia="仿宋"/>
          <w:b w:val="0"/>
          <w:bCs w:val="0"/>
        </w:rPr>
        <w:t>十四、国有资本经营预算财政拨款支出决算表</w:t>
      </w:r>
      <w:bookmarkEnd w:id="159"/>
      <w:bookmarkEnd w:id="160"/>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PAGE   \* MERGEFORMAT</w:instrText>
    </w:r>
    <w:r>
      <w:fldChar w:fldCharType="separate"/>
    </w:r>
    <w:r>
      <w:rPr>
        <w:lang w:val="zh-CN"/>
      </w:rPr>
      <w:t>3</w:t>
    </w:r>
    <w: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7BAFB6"/>
    <w:multiLevelType w:val="multilevel"/>
    <w:tmpl w:val="827BAFB6"/>
    <w:lvl w:ilvl="0" w:tentative="0">
      <w:start w:val="6"/>
      <w:numFmt w:val="chineseCounting"/>
      <w:suff w:val="nothing"/>
      <w:lvlText w:val="%1、"/>
      <w:lvlJc w:val="left"/>
      <w:pPr>
        <w:tabs>
          <w:tab w:val="left" w:pos="0"/>
        </w:tabs>
        <w:ind w:left="0" w:firstLine="0"/>
      </w:pPr>
      <w:rPr>
        <w:rFonts w:hint="eastAsia"/>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
    <w:nsid w:val="A2364B10"/>
    <w:multiLevelType w:val="singleLevel"/>
    <w:tmpl w:val="A2364B10"/>
    <w:lvl w:ilvl="0" w:tentative="0">
      <w:start w:val="4"/>
      <w:numFmt w:val="chineseCounting"/>
      <w:suff w:val="nothing"/>
      <w:lvlText w:val="%1、"/>
      <w:lvlJc w:val="left"/>
      <w:pPr>
        <w:tabs>
          <w:tab w:val="left" w:pos="0"/>
        </w:tabs>
        <w:ind w:left="0" w:firstLine="0"/>
      </w:pPr>
      <w:rPr>
        <w:rFonts w:hint="eastAsia"/>
      </w:rPr>
    </w:lvl>
  </w:abstractNum>
  <w:abstractNum w:abstractNumId="2">
    <w:nsid w:val="B46ACBE8"/>
    <w:multiLevelType w:val="multilevel"/>
    <w:tmpl w:val="B46ACBE8"/>
    <w:lvl w:ilvl="0" w:tentative="0">
      <w:start w:val="6"/>
      <w:numFmt w:val="chineseCounting"/>
      <w:suff w:val="nothing"/>
      <w:lvlText w:val="%1、"/>
      <w:lvlJc w:val="left"/>
      <w:pPr>
        <w:tabs>
          <w:tab w:val="left" w:pos="0"/>
        </w:tabs>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
    <w:nsid w:val="CA516A56"/>
    <w:multiLevelType w:val="singleLevel"/>
    <w:tmpl w:val="CA516A56"/>
    <w:lvl w:ilvl="0" w:tentative="0">
      <w:start w:val="2"/>
      <w:numFmt w:val="chineseCounting"/>
      <w:suff w:val="nothing"/>
      <w:lvlText w:val="（%1）"/>
      <w:lvlJc w:val="left"/>
      <w:rPr>
        <w:rFonts w:hint="eastAsia"/>
      </w:rPr>
    </w:lvl>
  </w:abstractNum>
  <w:abstractNum w:abstractNumId="4">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5">
    <w:nsid w:val="E0DB5C89"/>
    <w:multiLevelType w:val="singleLevel"/>
    <w:tmpl w:val="E0DB5C89"/>
    <w:lvl w:ilvl="0" w:tentative="0">
      <w:start w:val="1"/>
      <w:numFmt w:val="chineseCounting"/>
      <w:suff w:val="nothing"/>
      <w:lvlText w:val="（%1）"/>
      <w:lvlJc w:val="left"/>
      <w:pPr>
        <w:tabs>
          <w:tab w:val="left" w:pos="0"/>
        </w:tabs>
        <w:ind w:left="0" w:firstLine="0"/>
      </w:pPr>
      <w:rPr>
        <w:rFonts w:hint="eastAsia"/>
      </w:rPr>
    </w:lvl>
  </w:abstractNum>
  <w:abstractNum w:abstractNumId="6">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7">
    <w:nsid w:val="05DCA50E"/>
    <w:multiLevelType w:val="singleLevel"/>
    <w:tmpl w:val="05DCA50E"/>
    <w:lvl w:ilvl="0" w:tentative="0">
      <w:start w:val="1"/>
      <w:numFmt w:val="chineseCounting"/>
      <w:suff w:val="nothing"/>
      <w:lvlText w:val="（%1）"/>
      <w:lvlJc w:val="left"/>
      <w:pPr>
        <w:tabs>
          <w:tab w:val="left" w:pos="0"/>
        </w:tabs>
        <w:ind w:left="0" w:firstLine="0"/>
      </w:pPr>
      <w:rPr>
        <w:rFonts w:hint="eastAsia"/>
      </w:rPr>
    </w:lvl>
  </w:abstractNum>
  <w:abstractNum w:abstractNumId="8">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9">
    <w:nsid w:val="2F260090"/>
    <w:multiLevelType w:val="multilevel"/>
    <w:tmpl w:val="2F260090"/>
    <w:lvl w:ilvl="0" w:tentative="0">
      <w:start w:val="2"/>
      <w:numFmt w:val="chineseCounting"/>
      <w:suff w:val="nothing"/>
      <w:lvlText w:val="（%1）"/>
      <w:lvlJc w:val="left"/>
      <w:pPr>
        <w:tabs>
          <w:tab w:val="left" w:pos="0"/>
        </w:tabs>
        <w:ind w:left="0" w:firstLine="0"/>
      </w:pPr>
      <w:rPr>
        <w:rFonts w:hint="eastAsia"/>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0">
    <w:nsid w:val="3064A595"/>
    <w:multiLevelType w:val="multilevel"/>
    <w:tmpl w:val="3064A595"/>
    <w:lvl w:ilvl="0" w:tentative="0">
      <w:start w:val="1"/>
      <w:numFmt w:val="chineseCounting"/>
      <w:suff w:val="nothing"/>
      <w:lvlText w:val="%1、"/>
      <w:lvlJc w:val="left"/>
      <w:pPr>
        <w:tabs>
          <w:tab w:val="left" w:pos="0"/>
        </w:tabs>
        <w:ind w:left="30" w:firstLine="0"/>
      </w:pPr>
      <w:rPr>
        <w:rFonts w:hint="eastAsia"/>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1">
    <w:nsid w:val="46398396"/>
    <w:multiLevelType w:val="multilevel"/>
    <w:tmpl w:val="46398396"/>
    <w:lvl w:ilvl="0" w:tentative="0">
      <w:start w:val="1"/>
      <w:numFmt w:val="chineseCounting"/>
      <w:suff w:val="nothing"/>
      <w:lvlText w:val="%1、"/>
      <w:lvlJc w:val="left"/>
      <w:pPr>
        <w:tabs>
          <w:tab w:val="left" w:pos="0"/>
        </w:tabs>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2">
    <w:nsid w:val="48B592F0"/>
    <w:multiLevelType w:val="multilevel"/>
    <w:tmpl w:val="48B592F0"/>
    <w:lvl w:ilvl="0" w:tentative="0">
      <w:start w:val="2"/>
      <w:numFmt w:val="chineseCounting"/>
      <w:suff w:val="nothing"/>
      <w:lvlText w:val="（%1）"/>
      <w:lvlJc w:val="left"/>
      <w:pPr>
        <w:tabs>
          <w:tab w:val="left" w:pos="0"/>
        </w:tabs>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8"/>
  </w:num>
  <w:num w:numId="2">
    <w:abstractNumId w:val="4"/>
  </w:num>
  <w:num w:numId="3">
    <w:abstractNumId w:val="6"/>
  </w:num>
  <w:num w:numId="4">
    <w:abstractNumId w:val="3"/>
  </w:num>
  <w:num w:numId="5">
    <w:abstractNumId w:val="5"/>
  </w:num>
  <w:num w:numId="6">
    <w:abstractNumId w:val="1"/>
  </w:num>
  <w:num w:numId="7">
    <w:abstractNumId w:val="7"/>
  </w:num>
  <w:num w:numId="8">
    <w:abstractNumId w:val="10"/>
  </w:num>
  <w:num w:numId="9">
    <w:abstractNumId w:val="9"/>
  </w:num>
  <w:num w:numId="10">
    <w:abstractNumId w:val="0"/>
  </w:num>
  <w:num w:numId="11">
    <w:abstractNumId w:val="11"/>
  </w:num>
  <w:num w:numId="12">
    <w:abstractNumId w:val="12"/>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22C6"/>
    <w:rsid w:val="0002549F"/>
    <w:rsid w:val="000468DB"/>
    <w:rsid w:val="00047663"/>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15301"/>
    <w:rsid w:val="001319E1"/>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56262"/>
    <w:rsid w:val="00260C38"/>
    <w:rsid w:val="002616C0"/>
    <w:rsid w:val="00265372"/>
    <w:rsid w:val="002662AA"/>
    <w:rsid w:val="0027224D"/>
    <w:rsid w:val="00280496"/>
    <w:rsid w:val="00282D0F"/>
    <w:rsid w:val="00294DC9"/>
    <w:rsid w:val="00295495"/>
    <w:rsid w:val="002A31DE"/>
    <w:rsid w:val="002B2613"/>
    <w:rsid w:val="002B2FF7"/>
    <w:rsid w:val="002D6D05"/>
    <w:rsid w:val="002F1818"/>
    <w:rsid w:val="002F567B"/>
    <w:rsid w:val="003216A9"/>
    <w:rsid w:val="00335A74"/>
    <w:rsid w:val="003419C9"/>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3E6FE4"/>
    <w:rsid w:val="00406254"/>
    <w:rsid w:val="0040703D"/>
    <w:rsid w:val="004223DE"/>
    <w:rsid w:val="00434489"/>
    <w:rsid w:val="00437085"/>
    <w:rsid w:val="00443880"/>
    <w:rsid w:val="00445607"/>
    <w:rsid w:val="004464F4"/>
    <w:rsid w:val="00471401"/>
    <w:rsid w:val="00473F31"/>
    <w:rsid w:val="0048263A"/>
    <w:rsid w:val="00487E5D"/>
    <w:rsid w:val="004A711F"/>
    <w:rsid w:val="004B199D"/>
    <w:rsid w:val="004B4690"/>
    <w:rsid w:val="004D5479"/>
    <w:rsid w:val="004E0A2D"/>
    <w:rsid w:val="004E206B"/>
    <w:rsid w:val="004E6DF7"/>
    <w:rsid w:val="004F0FBD"/>
    <w:rsid w:val="00505A47"/>
    <w:rsid w:val="00512FDA"/>
    <w:rsid w:val="00520DA0"/>
    <w:rsid w:val="005269A7"/>
    <w:rsid w:val="005269D7"/>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45F81"/>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2977"/>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D8"/>
    <w:rsid w:val="00935C98"/>
    <w:rsid w:val="00946945"/>
    <w:rsid w:val="00951248"/>
    <w:rsid w:val="0095152F"/>
    <w:rsid w:val="00954C49"/>
    <w:rsid w:val="00955E37"/>
    <w:rsid w:val="00962656"/>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0BCD"/>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11E4"/>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0E4E"/>
    <w:rsid w:val="00B944D6"/>
    <w:rsid w:val="00B965DC"/>
    <w:rsid w:val="00BB4DF0"/>
    <w:rsid w:val="00BC289F"/>
    <w:rsid w:val="00BC2D50"/>
    <w:rsid w:val="00BC5361"/>
    <w:rsid w:val="00BC5460"/>
    <w:rsid w:val="00BC6B50"/>
    <w:rsid w:val="00BD0E25"/>
    <w:rsid w:val="00BF5BD6"/>
    <w:rsid w:val="00C03E31"/>
    <w:rsid w:val="00C116C5"/>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4B0"/>
    <w:rsid w:val="00DC7CBA"/>
    <w:rsid w:val="00DD73B7"/>
    <w:rsid w:val="00DF28BC"/>
    <w:rsid w:val="00DF34B9"/>
    <w:rsid w:val="00E01053"/>
    <w:rsid w:val="00E07ACF"/>
    <w:rsid w:val="00E32CAD"/>
    <w:rsid w:val="00E331A1"/>
    <w:rsid w:val="00E33202"/>
    <w:rsid w:val="00E336A9"/>
    <w:rsid w:val="00E472B1"/>
    <w:rsid w:val="00E50624"/>
    <w:rsid w:val="00E568DF"/>
    <w:rsid w:val="00E64269"/>
    <w:rsid w:val="00E70975"/>
    <w:rsid w:val="00E82267"/>
    <w:rsid w:val="00E853CE"/>
    <w:rsid w:val="00E867B6"/>
    <w:rsid w:val="00EA010F"/>
    <w:rsid w:val="00ED1B63"/>
    <w:rsid w:val="00ED3C1F"/>
    <w:rsid w:val="00ED4085"/>
    <w:rsid w:val="00ED420E"/>
    <w:rsid w:val="00ED6FBE"/>
    <w:rsid w:val="00EE2F57"/>
    <w:rsid w:val="00EF4C34"/>
    <w:rsid w:val="00EF60EF"/>
    <w:rsid w:val="00EF77C6"/>
    <w:rsid w:val="00F040F7"/>
    <w:rsid w:val="00F05438"/>
    <w:rsid w:val="00F1361C"/>
    <w:rsid w:val="00F156F0"/>
    <w:rsid w:val="00F160C7"/>
    <w:rsid w:val="00F2408F"/>
    <w:rsid w:val="00F240E9"/>
    <w:rsid w:val="00F36D8F"/>
    <w:rsid w:val="00F417B1"/>
    <w:rsid w:val="00F45853"/>
    <w:rsid w:val="00F602DF"/>
    <w:rsid w:val="00F67211"/>
    <w:rsid w:val="00F754A1"/>
    <w:rsid w:val="00F81FD9"/>
    <w:rsid w:val="00F841AA"/>
    <w:rsid w:val="00F84A94"/>
    <w:rsid w:val="00F87E96"/>
    <w:rsid w:val="00FA23E8"/>
    <w:rsid w:val="00FD3CC1"/>
    <w:rsid w:val="00FF1E02"/>
    <w:rsid w:val="00FF30B4"/>
    <w:rsid w:val="01491959"/>
    <w:rsid w:val="01795BAA"/>
    <w:rsid w:val="01844A0D"/>
    <w:rsid w:val="01B027D1"/>
    <w:rsid w:val="01BC620A"/>
    <w:rsid w:val="02D27127"/>
    <w:rsid w:val="031023A4"/>
    <w:rsid w:val="03280AD3"/>
    <w:rsid w:val="032D69CB"/>
    <w:rsid w:val="03917BD2"/>
    <w:rsid w:val="03986810"/>
    <w:rsid w:val="03F743CC"/>
    <w:rsid w:val="040877D7"/>
    <w:rsid w:val="04302FA5"/>
    <w:rsid w:val="044E0E40"/>
    <w:rsid w:val="048655AF"/>
    <w:rsid w:val="04D84CC0"/>
    <w:rsid w:val="05C90F53"/>
    <w:rsid w:val="05CB70C5"/>
    <w:rsid w:val="05ED353E"/>
    <w:rsid w:val="06075DE9"/>
    <w:rsid w:val="06310EF2"/>
    <w:rsid w:val="066B08F3"/>
    <w:rsid w:val="06842C01"/>
    <w:rsid w:val="06CA7D5E"/>
    <w:rsid w:val="071727EE"/>
    <w:rsid w:val="073F3B89"/>
    <w:rsid w:val="075A6722"/>
    <w:rsid w:val="075B772E"/>
    <w:rsid w:val="076A4C24"/>
    <w:rsid w:val="077F6146"/>
    <w:rsid w:val="07C44347"/>
    <w:rsid w:val="07FC0EBD"/>
    <w:rsid w:val="080068F6"/>
    <w:rsid w:val="080B1884"/>
    <w:rsid w:val="081D7E08"/>
    <w:rsid w:val="08446704"/>
    <w:rsid w:val="08495139"/>
    <w:rsid w:val="085B1E8F"/>
    <w:rsid w:val="0864352F"/>
    <w:rsid w:val="087549C1"/>
    <w:rsid w:val="08F21F97"/>
    <w:rsid w:val="095F6752"/>
    <w:rsid w:val="0978122D"/>
    <w:rsid w:val="09D82985"/>
    <w:rsid w:val="09F16C92"/>
    <w:rsid w:val="0A2032A3"/>
    <w:rsid w:val="0A4E02AA"/>
    <w:rsid w:val="0A9E5740"/>
    <w:rsid w:val="0B1E74C7"/>
    <w:rsid w:val="0B1F32CB"/>
    <w:rsid w:val="0B393DFC"/>
    <w:rsid w:val="0B8D730D"/>
    <w:rsid w:val="0BAA0233"/>
    <w:rsid w:val="0BE1619C"/>
    <w:rsid w:val="0C0E5E12"/>
    <w:rsid w:val="0C2A185A"/>
    <w:rsid w:val="0C691283"/>
    <w:rsid w:val="0CA02AB8"/>
    <w:rsid w:val="0CF15F6F"/>
    <w:rsid w:val="0D2820DF"/>
    <w:rsid w:val="0D3B74BA"/>
    <w:rsid w:val="0D53609B"/>
    <w:rsid w:val="0DC52961"/>
    <w:rsid w:val="0E3453D9"/>
    <w:rsid w:val="0E4C1F01"/>
    <w:rsid w:val="0E654793"/>
    <w:rsid w:val="0E77353D"/>
    <w:rsid w:val="0E9335D6"/>
    <w:rsid w:val="0EFD7DD9"/>
    <w:rsid w:val="0F0871A1"/>
    <w:rsid w:val="103E7569"/>
    <w:rsid w:val="104739B0"/>
    <w:rsid w:val="1069419A"/>
    <w:rsid w:val="106D1695"/>
    <w:rsid w:val="108F4297"/>
    <w:rsid w:val="10911781"/>
    <w:rsid w:val="10981ECA"/>
    <w:rsid w:val="10C055FF"/>
    <w:rsid w:val="10D0483E"/>
    <w:rsid w:val="1125654A"/>
    <w:rsid w:val="1135528D"/>
    <w:rsid w:val="115662BF"/>
    <w:rsid w:val="116B7DAD"/>
    <w:rsid w:val="11753953"/>
    <w:rsid w:val="1180554F"/>
    <w:rsid w:val="118107EC"/>
    <w:rsid w:val="11B346C1"/>
    <w:rsid w:val="11D56FB0"/>
    <w:rsid w:val="12301455"/>
    <w:rsid w:val="124355C6"/>
    <w:rsid w:val="125D5ED0"/>
    <w:rsid w:val="12812E34"/>
    <w:rsid w:val="12AF39FD"/>
    <w:rsid w:val="12F61B85"/>
    <w:rsid w:val="12FB01D5"/>
    <w:rsid w:val="131826ED"/>
    <w:rsid w:val="131E7B6D"/>
    <w:rsid w:val="134D3A8B"/>
    <w:rsid w:val="137633ED"/>
    <w:rsid w:val="137B61EF"/>
    <w:rsid w:val="1398504E"/>
    <w:rsid w:val="13B360AD"/>
    <w:rsid w:val="13D75802"/>
    <w:rsid w:val="140E1B8F"/>
    <w:rsid w:val="14181A98"/>
    <w:rsid w:val="14750D42"/>
    <w:rsid w:val="149C77CB"/>
    <w:rsid w:val="152233CF"/>
    <w:rsid w:val="154C5747"/>
    <w:rsid w:val="156717CA"/>
    <w:rsid w:val="1591782B"/>
    <w:rsid w:val="15E91B9D"/>
    <w:rsid w:val="160C53B5"/>
    <w:rsid w:val="16132682"/>
    <w:rsid w:val="161B0787"/>
    <w:rsid w:val="161D26DD"/>
    <w:rsid w:val="162122B7"/>
    <w:rsid w:val="1665531A"/>
    <w:rsid w:val="169C1AFB"/>
    <w:rsid w:val="16AB16F2"/>
    <w:rsid w:val="16BB723D"/>
    <w:rsid w:val="16C94879"/>
    <w:rsid w:val="16DB2ABC"/>
    <w:rsid w:val="17050F81"/>
    <w:rsid w:val="17325756"/>
    <w:rsid w:val="17C958BF"/>
    <w:rsid w:val="180E43A9"/>
    <w:rsid w:val="18272559"/>
    <w:rsid w:val="184E1C15"/>
    <w:rsid w:val="18570486"/>
    <w:rsid w:val="188A7BBE"/>
    <w:rsid w:val="18E22CB3"/>
    <w:rsid w:val="19153CB2"/>
    <w:rsid w:val="196275E8"/>
    <w:rsid w:val="197079E9"/>
    <w:rsid w:val="197C0580"/>
    <w:rsid w:val="197E5310"/>
    <w:rsid w:val="1A1A1DD2"/>
    <w:rsid w:val="1A5812DB"/>
    <w:rsid w:val="1A7F0C89"/>
    <w:rsid w:val="1A8B430F"/>
    <w:rsid w:val="1B477193"/>
    <w:rsid w:val="1BCF7474"/>
    <w:rsid w:val="1C944A11"/>
    <w:rsid w:val="1CD75D4E"/>
    <w:rsid w:val="1CE15FA5"/>
    <w:rsid w:val="1D12090E"/>
    <w:rsid w:val="1D155CEE"/>
    <w:rsid w:val="1D604689"/>
    <w:rsid w:val="1DCE4B16"/>
    <w:rsid w:val="1DD31FB1"/>
    <w:rsid w:val="1DD6638B"/>
    <w:rsid w:val="1E375BFC"/>
    <w:rsid w:val="1E3F1361"/>
    <w:rsid w:val="1E4E52D7"/>
    <w:rsid w:val="1E5A47C5"/>
    <w:rsid w:val="1EDD5E9A"/>
    <w:rsid w:val="1EE83B37"/>
    <w:rsid w:val="1EE95F78"/>
    <w:rsid w:val="1EFA045A"/>
    <w:rsid w:val="1FFB028F"/>
    <w:rsid w:val="208C64FC"/>
    <w:rsid w:val="209B0648"/>
    <w:rsid w:val="20A91C71"/>
    <w:rsid w:val="20F23BD2"/>
    <w:rsid w:val="21BF1DBF"/>
    <w:rsid w:val="224111E8"/>
    <w:rsid w:val="227C77CA"/>
    <w:rsid w:val="23087333"/>
    <w:rsid w:val="231C40FA"/>
    <w:rsid w:val="232C793C"/>
    <w:rsid w:val="237270D5"/>
    <w:rsid w:val="23867CD6"/>
    <w:rsid w:val="239E470C"/>
    <w:rsid w:val="240371BF"/>
    <w:rsid w:val="24192A82"/>
    <w:rsid w:val="24520C8F"/>
    <w:rsid w:val="24611BAE"/>
    <w:rsid w:val="248A4CFD"/>
    <w:rsid w:val="24A8279E"/>
    <w:rsid w:val="24B73E29"/>
    <w:rsid w:val="24BF6E54"/>
    <w:rsid w:val="25404498"/>
    <w:rsid w:val="257F4AE1"/>
    <w:rsid w:val="25B73F1E"/>
    <w:rsid w:val="25FB6A79"/>
    <w:rsid w:val="26154341"/>
    <w:rsid w:val="26172AB8"/>
    <w:rsid w:val="261A29BA"/>
    <w:rsid w:val="263C27BC"/>
    <w:rsid w:val="263E55EA"/>
    <w:rsid w:val="26466BCD"/>
    <w:rsid w:val="271549BA"/>
    <w:rsid w:val="27365A9C"/>
    <w:rsid w:val="27633147"/>
    <w:rsid w:val="27AD708F"/>
    <w:rsid w:val="280D2AB1"/>
    <w:rsid w:val="282F1630"/>
    <w:rsid w:val="28393C38"/>
    <w:rsid w:val="286668BD"/>
    <w:rsid w:val="28787A63"/>
    <w:rsid w:val="2882500C"/>
    <w:rsid w:val="2898179C"/>
    <w:rsid w:val="289D1C75"/>
    <w:rsid w:val="28AC7143"/>
    <w:rsid w:val="28C220CF"/>
    <w:rsid w:val="28CD3659"/>
    <w:rsid w:val="28D35478"/>
    <w:rsid w:val="29002E13"/>
    <w:rsid w:val="29061D72"/>
    <w:rsid w:val="29174D8B"/>
    <w:rsid w:val="29350C63"/>
    <w:rsid w:val="296A48CF"/>
    <w:rsid w:val="29FD04D3"/>
    <w:rsid w:val="2A0A0601"/>
    <w:rsid w:val="2A67203C"/>
    <w:rsid w:val="2A85417A"/>
    <w:rsid w:val="2AA77207"/>
    <w:rsid w:val="2AEC435A"/>
    <w:rsid w:val="2B0A35A0"/>
    <w:rsid w:val="2B246A7B"/>
    <w:rsid w:val="2B27176B"/>
    <w:rsid w:val="2B2A0AE7"/>
    <w:rsid w:val="2B7B4924"/>
    <w:rsid w:val="2BB90273"/>
    <w:rsid w:val="2BC261B5"/>
    <w:rsid w:val="2BE73BA0"/>
    <w:rsid w:val="2BF9267F"/>
    <w:rsid w:val="2C123F2C"/>
    <w:rsid w:val="2C1D65D0"/>
    <w:rsid w:val="2C2A74A7"/>
    <w:rsid w:val="2C5567BB"/>
    <w:rsid w:val="2C5B6D17"/>
    <w:rsid w:val="2C647F0E"/>
    <w:rsid w:val="2C8D2C2E"/>
    <w:rsid w:val="2CBB0910"/>
    <w:rsid w:val="2CE52805"/>
    <w:rsid w:val="2CFD4314"/>
    <w:rsid w:val="2D112208"/>
    <w:rsid w:val="2D352B85"/>
    <w:rsid w:val="2D9F11C1"/>
    <w:rsid w:val="2DF26349"/>
    <w:rsid w:val="2E3B08E8"/>
    <w:rsid w:val="2EC44BFA"/>
    <w:rsid w:val="2ED23458"/>
    <w:rsid w:val="2EDD3BDB"/>
    <w:rsid w:val="2EE439D7"/>
    <w:rsid w:val="2F0B595C"/>
    <w:rsid w:val="2F394E97"/>
    <w:rsid w:val="2F87390A"/>
    <w:rsid w:val="2FDD25D6"/>
    <w:rsid w:val="2FF67BC8"/>
    <w:rsid w:val="2FFE09C5"/>
    <w:rsid w:val="30311C63"/>
    <w:rsid w:val="3044693E"/>
    <w:rsid w:val="304F2780"/>
    <w:rsid w:val="307D145A"/>
    <w:rsid w:val="30846C2D"/>
    <w:rsid w:val="30924883"/>
    <w:rsid w:val="30AD452D"/>
    <w:rsid w:val="30DD3F7F"/>
    <w:rsid w:val="30E40916"/>
    <w:rsid w:val="31512319"/>
    <w:rsid w:val="31855E0C"/>
    <w:rsid w:val="319F7F4E"/>
    <w:rsid w:val="31DA7A12"/>
    <w:rsid w:val="32136051"/>
    <w:rsid w:val="32A21598"/>
    <w:rsid w:val="32A24BF2"/>
    <w:rsid w:val="32A778B3"/>
    <w:rsid w:val="32EE0BD9"/>
    <w:rsid w:val="32F7162C"/>
    <w:rsid w:val="33294B34"/>
    <w:rsid w:val="333F3999"/>
    <w:rsid w:val="334D69A6"/>
    <w:rsid w:val="339415ED"/>
    <w:rsid w:val="33993857"/>
    <w:rsid w:val="33CA6C56"/>
    <w:rsid w:val="34370439"/>
    <w:rsid w:val="345A00F3"/>
    <w:rsid w:val="34735813"/>
    <w:rsid w:val="348824C0"/>
    <w:rsid w:val="34CA75A4"/>
    <w:rsid w:val="34E64B5D"/>
    <w:rsid w:val="35002F85"/>
    <w:rsid w:val="35112423"/>
    <w:rsid w:val="35602A07"/>
    <w:rsid w:val="356E480B"/>
    <w:rsid w:val="358B56A7"/>
    <w:rsid w:val="36266F28"/>
    <w:rsid w:val="363737D7"/>
    <w:rsid w:val="36561A47"/>
    <w:rsid w:val="36616865"/>
    <w:rsid w:val="36834887"/>
    <w:rsid w:val="36EA4398"/>
    <w:rsid w:val="37014030"/>
    <w:rsid w:val="370E5726"/>
    <w:rsid w:val="371D1C5E"/>
    <w:rsid w:val="377143D5"/>
    <w:rsid w:val="387C0CC8"/>
    <w:rsid w:val="38BA75ED"/>
    <w:rsid w:val="38CC5F71"/>
    <w:rsid w:val="38CE5267"/>
    <w:rsid w:val="38D25375"/>
    <w:rsid w:val="39111D51"/>
    <w:rsid w:val="39915D92"/>
    <w:rsid w:val="39AC64DB"/>
    <w:rsid w:val="39DA0B12"/>
    <w:rsid w:val="39E7066C"/>
    <w:rsid w:val="39F51932"/>
    <w:rsid w:val="39F6199F"/>
    <w:rsid w:val="3A6E52F2"/>
    <w:rsid w:val="3A702F14"/>
    <w:rsid w:val="3A983BE7"/>
    <w:rsid w:val="3AAD46B1"/>
    <w:rsid w:val="3AB43D2A"/>
    <w:rsid w:val="3AB5005E"/>
    <w:rsid w:val="3AB90BCA"/>
    <w:rsid w:val="3ABB4198"/>
    <w:rsid w:val="3B053C02"/>
    <w:rsid w:val="3B4F5828"/>
    <w:rsid w:val="3B5506FE"/>
    <w:rsid w:val="3B5573DF"/>
    <w:rsid w:val="3B59135C"/>
    <w:rsid w:val="3B9F45C7"/>
    <w:rsid w:val="3BCC33F6"/>
    <w:rsid w:val="3C34575E"/>
    <w:rsid w:val="3C4F261B"/>
    <w:rsid w:val="3CC0599B"/>
    <w:rsid w:val="3D0B1E32"/>
    <w:rsid w:val="3D0E7362"/>
    <w:rsid w:val="3D505F7B"/>
    <w:rsid w:val="3DB9352B"/>
    <w:rsid w:val="3E0821A3"/>
    <w:rsid w:val="3E0F5FD9"/>
    <w:rsid w:val="3E27754E"/>
    <w:rsid w:val="3E610A74"/>
    <w:rsid w:val="3E7A4AC8"/>
    <w:rsid w:val="3ECF7C86"/>
    <w:rsid w:val="3ED13740"/>
    <w:rsid w:val="3F764BB2"/>
    <w:rsid w:val="3FF50F7A"/>
    <w:rsid w:val="40343419"/>
    <w:rsid w:val="40B51691"/>
    <w:rsid w:val="41083129"/>
    <w:rsid w:val="413D1822"/>
    <w:rsid w:val="415B3EAE"/>
    <w:rsid w:val="416D5295"/>
    <w:rsid w:val="417C4771"/>
    <w:rsid w:val="41A33A14"/>
    <w:rsid w:val="41AC35A9"/>
    <w:rsid w:val="41C00C23"/>
    <w:rsid w:val="428E0A0F"/>
    <w:rsid w:val="429717B4"/>
    <w:rsid w:val="42A321D9"/>
    <w:rsid w:val="42BA74F7"/>
    <w:rsid w:val="42C147DA"/>
    <w:rsid w:val="42CC03DB"/>
    <w:rsid w:val="42FA3FFE"/>
    <w:rsid w:val="43081192"/>
    <w:rsid w:val="430D2FCD"/>
    <w:rsid w:val="4326258D"/>
    <w:rsid w:val="43515B23"/>
    <w:rsid w:val="43B45474"/>
    <w:rsid w:val="43C4290A"/>
    <w:rsid w:val="43FA754A"/>
    <w:rsid w:val="44B27706"/>
    <w:rsid w:val="44F67F05"/>
    <w:rsid w:val="450B0D61"/>
    <w:rsid w:val="450B7E49"/>
    <w:rsid w:val="45532C0A"/>
    <w:rsid w:val="45567E59"/>
    <w:rsid w:val="45975561"/>
    <w:rsid w:val="459A0338"/>
    <w:rsid w:val="45AD0353"/>
    <w:rsid w:val="45C22213"/>
    <w:rsid w:val="45E724C5"/>
    <w:rsid w:val="45F46183"/>
    <w:rsid w:val="45F53490"/>
    <w:rsid w:val="46081B22"/>
    <w:rsid w:val="462E5B95"/>
    <w:rsid w:val="46E57C91"/>
    <w:rsid w:val="479D5345"/>
    <w:rsid w:val="47A56E76"/>
    <w:rsid w:val="47F1538F"/>
    <w:rsid w:val="482416ED"/>
    <w:rsid w:val="48553F8C"/>
    <w:rsid w:val="485B5103"/>
    <w:rsid w:val="48607693"/>
    <w:rsid w:val="48C81B83"/>
    <w:rsid w:val="48D3679F"/>
    <w:rsid w:val="48F51EBA"/>
    <w:rsid w:val="48FB5223"/>
    <w:rsid w:val="492209A4"/>
    <w:rsid w:val="4923547E"/>
    <w:rsid w:val="493F5226"/>
    <w:rsid w:val="49530ECB"/>
    <w:rsid w:val="4965568C"/>
    <w:rsid w:val="498246B9"/>
    <w:rsid w:val="49972AFB"/>
    <w:rsid w:val="49A606D5"/>
    <w:rsid w:val="49D11C71"/>
    <w:rsid w:val="49D344C9"/>
    <w:rsid w:val="49F06F6F"/>
    <w:rsid w:val="49FA0033"/>
    <w:rsid w:val="4A7C701A"/>
    <w:rsid w:val="4B030193"/>
    <w:rsid w:val="4B3067FF"/>
    <w:rsid w:val="4B6D5C11"/>
    <w:rsid w:val="4B732525"/>
    <w:rsid w:val="4BF223EE"/>
    <w:rsid w:val="4C057950"/>
    <w:rsid w:val="4C0F2163"/>
    <w:rsid w:val="4C4C17B6"/>
    <w:rsid w:val="4C583900"/>
    <w:rsid w:val="4C985D4C"/>
    <w:rsid w:val="4CB33CC2"/>
    <w:rsid w:val="4D3865BA"/>
    <w:rsid w:val="4DA86929"/>
    <w:rsid w:val="4DC134BD"/>
    <w:rsid w:val="4DFF5759"/>
    <w:rsid w:val="4E4700BE"/>
    <w:rsid w:val="4E5B387E"/>
    <w:rsid w:val="4E967B68"/>
    <w:rsid w:val="4EA22D09"/>
    <w:rsid w:val="4EC67162"/>
    <w:rsid w:val="4ECE2238"/>
    <w:rsid w:val="4ED46978"/>
    <w:rsid w:val="4F3600D4"/>
    <w:rsid w:val="4F657F19"/>
    <w:rsid w:val="4F912D06"/>
    <w:rsid w:val="4F984EE2"/>
    <w:rsid w:val="4FAF73F2"/>
    <w:rsid w:val="4FB41D31"/>
    <w:rsid w:val="4FC11A8D"/>
    <w:rsid w:val="4FCF73AA"/>
    <w:rsid w:val="4FE52ECF"/>
    <w:rsid w:val="4FF030ED"/>
    <w:rsid w:val="502E48A9"/>
    <w:rsid w:val="50902BA3"/>
    <w:rsid w:val="50D04C94"/>
    <w:rsid w:val="51084087"/>
    <w:rsid w:val="514520E8"/>
    <w:rsid w:val="516000FD"/>
    <w:rsid w:val="518974ED"/>
    <w:rsid w:val="51CD3C0F"/>
    <w:rsid w:val="51E203AB"/>
    <w:rsid w:val="51E70997"/>
    <w:rsid w:val="521F0C1E"/>
    <w:rsid w:val="52995403"/>
    <w:rsid w:val="53041AC9"/>
    <w:rsid w:val="53285F8D"/>
    <w:rsid w:val="53304AA8"/>
    <w:rsid w:val="53761D7E"/>
    <w:rsid w:val="54116ABC"/>
    <w:rsid w:val="542200C9"/>
    <w:rsid w:val="54636D3C"/>
    <w:rsid w:val="54677ACE"/>
    <w:rsid w:val="547B2AE3"/>
    <w:rsid w:val="54816922"/>
    <w:rsid w:val="54A3520A"/>
    <w:rsid w:val="552D4C11"/>
    <w:rsid w:val="553F7404"/>
    <w:rsid w:val="554C2260"/>
    <w:rsid w:val="558A2A00"/>
    <w:rsid w:val="55A3276A"/>
    <w:rsid w:val="560D0A7F"/>
    <w:rsid w:val="561337F3"/>
    <w:rsid w:val="5657604F"/>
    <w:rsid w:val="5664316A"/>
    <w:rsid w:val="56902262"/>
    <w:rsid w:val="56931F39"/>
    <w:rsid w:val="56AD5E11"/>
    <w:rsid w:val="56C107C4"/>
    <w:rsid w:val="56E62B97"/>
    <w:rsid w:val="57101DD0"/>
    <w:rsid w:val="573149B8"/>
    <w:rsid w:val="57B045DE"/>
    <w:rsid w:val="57F001A4"/>
    <w:rsid w:val="57FD4A6D"/>
    <w:rsid w:val="585476A7"/>
    <w:rsid w:val="58652A85"/>
    <w:rsid w:val="58B61BAD"/>
    <w:rsid w:val="58C20FD9"/>
    <w:rsid w:val="58F07A6C"/>
    <w:rsid w:val="590670AA"/>
    <w:rsid w:val="59780592"/>
    <w:rsid w:val="59865D05"/>
    <w:rsid w:val="599727DC"/>
    <w:rsid w:val="59A14967"/>
    <w:rsid w:val="59A16692"/>
    <w:rsid w:val="59BC4B6C"/>
    <w:rsid w:val="59BD569D"/>
    <w:rsid w:val="59BF458D"/>
    <w:rsid w:val="59CB48E6"/>
    <w:rsid w:val="5B2D4DED"/>
    <w:rsid w:val="5B617D2A"/>
    <w:rsid w:val="5B7D03CE"/>
    <w:rsid w:val="5B8E48B4"/>
    <w:rsid w:val="5B963107"/>
    <w:rsid w:val="5BA63B2F"/>
    <w:rsid w:val="5C02783B"/>
    <w:rsid w:val="5C2B4BC2"/>
    <w:rsid w:val="5C450DEF"/>
    <w:rsid w:val="5C495859"/>
    <w:rsid w:val="5C67102F"/>
    <w:rsid w:val="5C6F7A8D"/>
    <w:rsid w:val="5C8C5A08"/>
    <w:rsid w:val="5CBB036A"/>
    <w:rsid w:val="5D077687"/>
    <w:rsid w:val="5D183B75"/>
    <w:rsid w:val="5D7C011D"/>
    <w:rsid w:val="5DA014D7"/>
    <w:rsid w:val="5DD072F7"/>
    <w:rsid w:val="5DE94DB0"/>
    <w:rsid w:val="5DEE78CD"/>
    <w:rsid w:val="5DFE4280"/>
    <w:rsid w:val="5E00257D"/>
    <w:rsid w:val="5E0B46C5"/>
    <w:rsid w:val="5E4462A2"/>
    <w:rsid w:val="5E4755EE"/>
    <w:rsid w:val="5F0C10CA"/>
    <w:rsid w:val="5F316E6F"/>
    <w:rsid w:val="5F6F3ACE"/>
    <w:rsid w:val="5F767EF6"/>
    <w:rsid w:val="5F780FCE"/>
    <w:rsid w:val="5FA64428"/>
    <w:rsid w:val="601867C4"/>
    <w:rsid w:val="603C15AA"/>
    <w:rsid w:val="60447F21"/>
    <w:rsid w:val="608421DD"/>
    <w:rsid w:val="61B262E9"/>
    <w:rsid w:val="61D3067C"/>
    <w:rsid w:val="61FB1F6F"/>
    <w:rsid w:val="62407F6F"/>
    <w:rsid w:val="62534920"/>
    <w:rsid w:val="6263699A"/>
    <w:rsid w:val="62AA208B"/>
    <w:rsid w:val="62AB2760"/>
    <w:rsid w:val="62B27E6D"/>
    <w:rsid w:val="62D54538"/>
    <w:rsid w:val="6337103C"/>
    <w:rsid w:val="63505CC4"/>
    <w:rsid w:val="638B4678"/>
    <w:rsid w:val="63DC3788"/>
    <w:rsid w:val="64096454"/>
    <w:rsid w:val="64620DE9"/>
    <w:rsid w:val="64AE3790"/>
    <w:rsid w:val="64B1700B"/>
    <w:rsid w:val="64B70558"/>
    <w:rsid w:val="64CA244C"/>
    <w:rsid w:val="64CD20BD"/>
    <w:rsid w:val="64D17EC0"/>
    <w:rsid w:val="64DD6334"/>
    <w:rsid w:val="64EC7444"/>
    <w:rsid w:val="65403171"/>
    <w:rsid w:val="65AC6E5C"/>
    <w:rsid w:val="65DE00FA"/>
    <w:rsid w:val="662F4CD7"/>
    <w:rsid w:val="674370B3"/>
    <w:rsid w:val="67747D46"/>
    <w:rsid w:val="67A132DA"/>
    <w:rsid w:val="67FA04A6"/>
    <w:rsid w:val="680667C5"/>
    <w:rsid w:val="68255868"/>
    <w:rsid w:val="68D428A1"/>
    <w:rsid w:val="68D71649"/>
    <w:rsid w:val="68DE76FB"/>
    <w:rsid w:val="68F11523"/>
    <w:rsid w:val="69053530"/>
    <w:rsid w:val="690C41E7"/>
    <w:rsid w:val="69491A45"/>
    <w:rsid w:val="69A02043"/>
    <w:rsid w:val="69BB3535"/>
    <w:rsid w:val="69D67F2A"/>
    <w:rsid w:val="69F6048C"/>
    <w:rsid w:val="6A20295B"/>
    <w:rsid w:val="6A335A88"/>
    <w:rsid w:val="6A4F31EB"/>
    <w:rsid w:val="6A5F3FEF"/>
    <w:rsid w:val="6A7005FA"/>
    <w:rsid w:val="6A704FAE"/>
    <w:rsid w:val="6A8000B6"/>
    <w:rsid w:val="6A925E59"/>
    <w:rsid w:val="6AA25921"/>
    <w:rsid w:val="6B3D1E58"/>
    <w:rsid w:val="6B8B5F1C"/>
    <w:rsid w:val="6BE855A0"/>
    <w:rsid w:val="6BF10355"/>
    <w:rsid w:val="6BFE4062"/>
    <w:rsid w:val="6C2270A8"/>
    <w:rsid w:val="6C4A05C8"/>
    <w:rsid w:val="6C516D0D"/>
    <w:rsid w:val="6C5D5B45"/>
    <w:rsid w:val="6C796750"/>
    <w:rsid w:val="6C806DD4"/>
    <w:rsid w:val="6C8C6774"/>
    <w:rsid w:val="6CD05089"/>
    <w:rsid w:val="6D111988"/>
    <w:rsid w:val="6D26091C"/>
    <w:rsid w:val="6D2E7105"/>
    <w:rsid w:val="6D784D16"/>
    <w:rsid w:val="6D862010"/>
    <w:rsid w:val="6D8F3CE6"/>
    <w:rsid w:val="6DB37922"/>
    <w:rsid w:val="6DC116F7"/>
    <w:rsid w:val="6DF03436"/>
    <w:rsid w:val="6E08004E"/>
    <w:rsid w:val="6E401A0B"/>
    <w:rsid w:val="6E6136A9"/>
    <w:rsid w:val="6E666388"/>
    <w:rsid w:val="6EAF60BF"/>
    <w:rsid w:val="6EDA5043"/>
    <w:rsid w:val="6EDD3931"/>
    <w:rsid w:val="6F594DAE"/>
    <w:rsid w:val="6F6F7321"/>
    <w:rsid w:val="6FA64C8A"/>
    <w:rsid w:val="6FAA4A7C"/>
    <w:rsid w:val="6FCD01E3"/>
    <w:rsid w:val="6FF56B13"/>
    <w:rsid w:val="6FF652FC"/>
    <w:rsid w:val="70311F3B"/>
    <w:rsid w:val="70324EB8"/>
    <w:rsid w:val="703C52D4"/>
    <w:rsid w:val="70676F28"/>
    <w:rsid w:val="7083189B"/>
    <w:rsid w:val="70867AA7"/>
    <w:rsid w:val="70BB35BD"/>
    <w:rsid w:val="70F95CAE"/>
    <w:rsid w:val="710B0FB8"/>
    <w:rsid w:val="711B3CD7"/>
    <w:rsid w:val="71571E6F"/>
    <w:rsid w:val="71A75ACE"/>
    <w:rsid w:val="71F267C3"/>
    <w:rsid w:val="721E3955"/>
    <w:rsid w:val="72550A46"/>
    <w:rsid w:val="72734D90"/>
    <w:rsid w:val="72787181"/>
    <w:rsid w:val="72984E8F"/>
    <w:rsid w:val="73493AAB"/>
    <w:rsid w:val="738C7C7A"/>
    <w:rsid w:val="73BF7E79"/>
    <w:rsid w:val="73D13AEE"/>
    <w:rsid w:val="74061993"/>
    <w:rsid w:val="742811CB"/>
    <w:rsid w:val="743C714B"/>
    <w:rsid w:val="74444832"/>
    <w:rsid w:val="745C1722"/>
    <w:rsid w:val="7490320A"/>
    <w:rsid w:val="749969C0"/>
    <w:rsid w:val="74B03BA5"/>
    <w:rsid w:val="74D615DE"/>
    <w:rsid w:val="751661BC"/>
    <w:rsid w:val="753A78C8"/>
    <w:rsid w:val="75554112"/>
    <w:rsid w:val="755E6675"/>
    <w:rsid w:val="75724E2C"/>
    <w:rsid w:val="76627C19"/>
    <w:rsid w:val="766820C4"/>
    <w:rsid w:val="76CF6FD9"/>
    <w:rsid w:val="76E038CE"/>
    <w:rsid w:val="76EC7487"/>
    <w:rsid w:val="77061ECE"/>
    <w:rsid w:val="7741643F"/>
    <w:rsid w:val="77785F32"/>
    <w:rsid w:val="779336C4"/>
    <w:rsid w:val="779F7E50"/>
    <w:rsid w:val="780F4595"/>
    <w:rsid w:val="781C5A4E"/>
    <w:rsid w:val="781D3A99"/>
    <w:rsid w:val="78395B21"/>
    <w:rsid w:val="785651DB"/>
    <w:rsid w:val="785855F0"/>
    <w:rsid w:val="78997433"/>
    <w:rsid w:val="78B607F7"/>
    <w:rsid w:val="79045CAF"/>
    <w:rsid w:val="79223C43"/>
    <w:rsid w:val="793B1088"/>
    <w:rsid w:val="79513390"/>
    <w:rsid w:val="79FA3F19"/>
    <w:rsid w:val="7A0B6708"/>
    <w:rsid w:val="7A0E0553"/>
    <w:rsid w:val="7A16086E"/>
    <w:rsid w:val="7A4E186D"/>
    <w:rsid w:val="7A8A525E"/>
    <w:rsid w:val="7AF904B3"/>
    <w:rsid w:val="7B29560E"/>
    <w:rsid w:val="7B7247EC"/>
    <w:rsid w:val="7B801144"/>
    <w:rsid w:val="7BA67FBB"/>
    <w:rsid w:val="7BA73A79"/>
    <w:rsid w:val="7BB8416B"/>
    <w:rsid w:val="7BFC0E12"/>
    <w:rsid w:val="7C586C17"/>
    <w:rsid w:val="7CCB2E46"/>
    <w:rsid w:val="7CFC4123"/>
    <w:rsid w:val="7D247B74"/>
    <w:rsid w:val="7D6E2F1D"/>
    <w:rsid w:val="7D9319A5"/>
    <w:rsid w:val="7DD9764A"/>
    <w:rsid w:val="7DED6007"/>
    <w:rsid w:val="7E2D4BE2"/>
    <w:rsid w:val="7E337EC1"/>
    <w:rsid w:val="7EA12F78"/>
    <w:rsid w:val="7EFB185A"/>
    <w:rsid w:val="7F1F7342"/>
    <w:rsid w:val="7F3F0AA0"/>
    <w:rsid w:val="7F59392F"/>
    <w:rsid w:val="7F7518B7"/>
    <w:rsid w:val="7F862E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25"/>
    <w:qFormat/>
    <w:uiPriority w:val="9"/>
    <w:pPr>
      <w:keepNext/>
      <w:keepLines/>
      <w:spacing w:before="260" w:after="260" w:line="416" w:lineRule="auto"/>
      <w:outlineLvl w:val="2"/>
    </w:pPr>
    <w:rPr>
      <w:b/>
      <w:bCs/>
      <w:sz w:val="32"/>
      <w:szCs w:val="32"/>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18"/>
      <w:szCs w:val="18"/>
    </w:rPr>
  </w:style>
  <w:style w:type="paragraph" w:styleId="6">
    <w:name w:val="Body Text"/>
    <w:basedOn w:val="1"/>
    <w:link w:val="32"/>
    <w:qFormat/>
    <w:uiPriority w:val="99"/>
    <w:pPr>
      <w:spacing w:beforeLines="30"/>
    </w:pPr>
    <w:rPr>
      <w:rFonts w:ascii="仿宋_GB2312" w:eastAsia="仿宋_GB2312"/>
      <w:kern w:val="0"/>
      <w:sz w:val="24"/>
      <w:szCs w:val="20"/>
      <w:lang w:val="zh-CN" w:eastAsia="zh-CN"/>
    </w:rPr>
  </w:style>
  <w:style w:type="paragraph" w:styleId="7">
    <w:name w:val="toc 5"/>
    <w:basedOn w:val="1"/>
    <w:next w:val="1"/>
    <w:unhideWhenUsed/>
    <w:qFormat/>
    <w:uiPriority w:val="39"/>
    <w:pPr>
      <w:ind w:left="840"/>
      <w:jc w:val="left"/>
    </w:pPr>
    <w:rPr>
      <w:rFonts w:asciiTheme="minorHAnsi" w:eastAsiaTheme="minorHAnsi"/>
      <w:sz w:val="18"/>
      <w:szCs w:val="18"/>
    </w:rPr>
  </w:style>
  <w:style w:type="paragraph" w:styleId="8">
    <w:name w:val="toc 3"/>
    <w:basedOn w:val="1"/>
    <w:next w:val="1"/>
    <w:unhideWhenUsed/>
    <w:qFormat/>
    <w:uiPriority w:val="39"/>
    <w:pPr>
      <w:ind w:left="420"/>
      <w:jc w:val="left"/>
    </w:pPr>
    <w:rPr>
      <w:rFonts w:asciiTheme="minorHAnsi" w:eastAsiaTheme="minorHAnsi"/>
      <w:i/>
      <w:iCs/>
      <w:sz w:val="20"/>
      <w:szCs w:val="20"/>
    </w:rPr>
  </w:style>
  <w:style w:type="paragraph" w:styleId="9">
    <w:name w:val="toc 8"/>
    <w:basedOn w:val="1"/>
    <w:next w:val="1"/>
    <w:unhideWhenUsed/>
    <w:qFormat/>
    <w:uiPriority w:val="39"/>
    <w:pPr>
      <w:ind w:left="1470"/>
      <w:jc w:val="left"/>
    </w:pPr>
    <w:rPr>
      <w:rFonts w:asciiTheme="minorHAnsi" w:eastAsiaTheme="minorHAnsi"/>
      <w:sz w:val="18"/>
      <w:szCs w:val="18"/>
    </w:rPr>
  </w:style>
  <w:style w:type="paragraph" w:styleId="10">
    <w:name w:val="Balloon Text"/>
    <w:basedOn w:val="1"/>
    <w:link w:val="27"/>
    <w:semiHidden/>
    <w:unhideWhenUsed/>
    <w:qFormat/>
    <w:uiPriority w:val="99"/>
    <w:rPr>
      <w:sz w:val="18"/>
      <w:szCs w:val="18"/>
    </w:rPr>
  </w:style>
  <w:style w:type="paragraph" w:styleId="11">
    <w:name w:val="footer"/>
    <w:basedOn w:val="1"/>
    <w:link w:val="31"/>
    <w:qFormat/>
    <w:uiPriority w:val="99"/>
    <w:pPr>
      <w:tabs>
        <w:tab w:val="center" w:pos="4153"/>
        <w:tab w:val="right" w:pos="8306"/>
      </w:tabs>
      <w:snapToGrid w:val="0"/>
      <w:jc w:val="left"/>
    </w:pPr>
    <w:rPr>
      <w:rFonts w:ascii="Calibri" w:hAnsi="Calibri"/>
      <w:kern w:val="0"/>
      <w:sz w:val="18"/>
      <w:szCs w:val="20"/>
      <w:lang w:val="zh-CN" w:eastAsia="zh-CN"/>
    </w:rPr>
  </w:style>
  <w:style w:type="paragraph" w:styleId="12">
    <w:name w:val="header"/>
    <w:basedOn w:val="1"/>
    <w:link w:val="30"/>
    <w:semiHidden/>
    <w:qFormat/>
    <w:uiPriority w:val="99"/>
    <w:pPr>
      <w:pBdr>
        <w:bottom w:val="single" w:color="auto" w:sz="6" w:space="1"/>
      </w:pBdr>
      <w:tabs>
        <w:tab w:val="center" w:pos="4153"/>
        <w:tab w:val="right" w:pos="8306"/>
      </w:tabs>
      <w:snapToGrid w:val="0"/>
      <w:jc w:val="center"/>
    </w:pPr>
    <w:rPr>
      <w:rFonts w:ascii="Calibri" w:hAnsi="Calibri"/>
      <w:kern w:val="0"/>
      <w:sz w:val="18"/>
      <w:szCs w:val="20"/>
      <w:lang w:val="zh-CN" w:eastAsia="zh-CN"/>
    </w:rPr>
  </w:style>
  <w:style w:type="paragraph" w:styleId="13">
    <w:name w:val="toc 1"/>
    <w:basedOn w:val="1"/>
    <w:next w:val="1"/>
    <w:unhideWhenUsed/>
    <w:qFormat/>
    <w:uiPriority w:val="39"/>
    <w:pPr>
      <w:spacing w:before="120" w:after="120"/>
      <w:jc w:val="left"/>
    </w:pPr>
    <w:rPr>
      <w:rFonts w:asciiTheme="minorHAnsi" w:eastAsiaTheme="minorHAnsi"/>
      <w:b/>
      <w:bCs/>
      <w:caps/>
      <w:sz w:val="20"/>
      <w:szCs w:val="20"/>
    </w:rPr>
  </w:style>
  <w:style w:type="paragraph" w:styleId="14">
    <w:name w:val="toc 4"/>
    <w:basedOn w:val="1"/>
    <w:next w:val="1"/>
    <w:unhideWhenUsed/>
    <w:qFormat/>
    <w:uiPriority w:val="39"/>
    <w:pPr>
      <w:ind w:left="630"/>
      <w:jc w:val="left"/>
    </w:pPr>
    <w:rPr>
      <w:rFonts w:asciiTheme="minorHAnsi" w:eastAsiaTheme="minorHAnsi"/>
      <w:sz w:val="18"/>
      <w:szCs w:val="18"/>
    </w:rPr>
  </w:style>
  <w:style w:type="paragraph" w:styleId="15">
    <w:name w:val="toc 6"/>
    <w:basedOn w:val="1"/>
    <w:next w:val="1"/>
    <w:unhideWhenUsed/>
    <w:qFormat/>
    <w:uiPriority w:val="39"/>
    <w:pPr>
      <w:ind w:left="1050"/>
      <w:jc w:val="left"/>
    </w:pPr>
    <w:rPr>
      <w:rFonts w:asciiTheme="minorHAnsi" w:eastAsiaTheme="minorHAnsi"/>
      <w:sz w:val="18"/>
      <w:szCs w:val="18"/>
    </w:rPr>
  </w:style>
  <w:style w:type="paragraph" w:styleId="16">
    <w:name w:val="toc 2"/>
    <w:basedOn w:val="1"/>
    <w:next w:val="1"/>
    <w:unhideWhenUsed/>
    <w:qFormat/>
    <w:uiPriority w:val="39"/>
    <w:pPr>
      <w:ind w:left="210"/>
      <w:jc w:val="left"/>
    </w:pPr>
    <w:rPr>
      <w:rFonts w:asciiTheme="minorHAnsi" w:eastAsiaTheme="minorHAnsi"/>
      <w:smallCaps/>
      <w:sz w:val="20"/>
      <w:szCs w:val="20"/>
    </w:rPr>
  </w:style>
  <w:style w:type="paragraph" w:styleId="17">
    <w:name w:val="toc 9"/>
    <w:basedOn w:val="1"/>
    <w:next w:val="1"/>
    <w:unhideWhenUsed/>
    <w:qFormat/>
    <w:uiPriority w:val="39"/>
    <w:pPr>
      <w:ind w:left="1680"/>
      <w:jc w:val="left"/>
    </w:pPr>
    <w:rPr>
      <w:rFonts w:asciiTheme="minorHAnsi" w:eastAsiaTheme="minorHAnsi"/>
      <w:sz w:val="18"/>
      <w:szCs w:val="18"/>
    </w:rPr>
  </w:style>
  <w:style w:type="paragraph" w:styleId="1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21">
    <w:name w:val="Strong"/>
    <w:basedOn w:val="20"/>
    <w:qFormat/>
    <w:uiPriority w:val="99"/>
    <w:rPr>
      <w:rFonts w:cs="Times New Roman"/>
      <w:b/>
    </w:rPr>
  </w:style>
  <w:style w:type="character" w:styleId="22">
    <w:name w:val="Hyperlink"/>
    <w:basedOn w:val="20"/>
    <w:unhideWhenUsed/>
    <w:qFormat/>
    <w:uiPriority w:val="99"/>
    <w:rPr>
      <w:rFonts w:cs="Times New Roman"/>
      <w:color w:val="0000FF"/>
      <w:u w:val="single"/>
    </w:rPr>
  </w:style>
  <w:style w:type="character" w:customStyle="1" w:styleId="23">
    <w:name w:val="标题 1 字符"/>
    <w:basedOn w:val="20"/>
    <w:link w:val="2"/>
    <w:qFormat/>
    <w:locked/>
    <w:uiPriority w:val="9"/>
    <w:rPr>
      <w:rFonts w:ascii="Times New Roman" w:hAnsi="Times New Roman" w:cs="Times New Roman"/>
      <w:b/>
      <w:bCs/>
      <w:kern w:val="44"/>
      <w:sz w:val="44"/>
      <w:szCs w:val="44"/>
    </w:rPr>
  </w:style>
  <w:style w:type="character" w:customStyle="1" w:styleId="24">
    <w:name w:val="标题 2 字符"/>
    <w:basedOn w:val="20"/>
    <w:link w:val="3"/>
    <w:qFormat/>
    <w:locked/>
    <w:uiPriority w:val="9"/>
    <w:rPr>
      <w:rFonts w:ascii="Cambria" w:hAnsi="Cambria" w:eastAsia="宋体" w:cs="Times New Roman"/>
      <w:b/>
      <w:bCs/>
      <w:kern w:val="2"/>
      <w:sz w:val="32"/>
      <w:szCs w:val="32"/>
    </w:rPr>
  </w:style>
  <w:style w:type="character" w:customStyle="1" w:styleId="25">
    <w:name w:val="标题 3 字符"/>
    <w:basedOn w:val="20"/>
    <w:link w:val="4"/>
    <w:qFormat/>
    <w:locked/>
    <w:uiPriority w:val="9"/>
    <w:rPr>
      <w:rFonts w:ascii="Times New Roman" w:hAnsi="Times New Roman" w:cs="Times New Roman"/>
      <w:b/>
      <w:bCs/>
      <w:kern w:val="2"/>
      <w:sz w:val="32"/>
      <w:szCs w:val="32"/>
    </w:rPr>
  </w:style>
  <w:style w:type="character" w:customStyle="1" w:styleId="26">
    <w:name w:val="Body Text Char"/>
    <w:basedOn w:val="20"/>
    <w:semiHidden/>
    <w:qFormat/>
    <w:uiPriority w:val="99"/>
    <w:rPr>
      <w:rFonts w:ascii="Times New Roman" w:hAnsi="Times New Roman" w:cs="Times New Roman"/>
      <w:sz w:val="24"/>
      <w:szCs w:val="24"/>
    </w:rPr>
  </w:style>
  <w:style w:type="character" w:customStyle="1" w:styleId="27">
    <w:name w:val="批注框文本 字符"/>
    <w:basedOn w:val="20"/>
    <w:link w:val="10"/>
    <w:semiHidden/>
    <w:qFormat/>
    <w:locked/>
    <w:uiPriority w:val="99"/>
    <w:rPr>
      <w:rFonts w:ascii="Times New Roman" w:hAnsi="Times New Roman" w:cs="Times New Roman"/>
      <w:kern w:val="2"/>
      <w:sz w:val="18"/>
      <w:szCs w:val="18"/>
    </w:rPr>
  </w:style>
  <w:style w:type="character" w:customStyle="1" w:styleId="28">
    <w:name w:val="Footer Char"/>
    <w:basedOn w:val="20"/>
    <w:semiHidden/>
    <w:qFormat/>
    <w:uiPriority w:val="99"/>
    <w:rPr>
      <w:rFonts w:ascii="Times New Roman" w:hAnsi="Times New Roman" w:cs="Times New Roman"/>
      <w:sz w:val="18"/>
      <w:szCs w:val="18"/>
    </w:rPr>
  </w:style>
  <w:style w:type="character" w:customStyle="1" w:styleId="29">
    <w:name w:val="Header Char"/>
    <w:basedOn w:val="20"/>
    <w:semiHidden/>
    <w:qFormat/>
    <w:uiPriority w:val="99"/>
    <w:rPr>
      <w:rFonts w:ascii="Times New Roman" w:hAnsi="Times New Roman" w:cs="Times New Roman"/>
      <w:sz w:val="18"/>
      <w:szCs w:val="18"/>
    </w:rPr>
  </w:style>
  <w:style w:type="character" w:customStyle="1" w:styleId="30">
    <w:name w:val="页眉 字符"/>
    <w:link w:val="12"/>
    <w:semiHidden/>
    <w:qFormat/>
    <w:locked/>
    <w:uiPriority w:val="99"/>
    <w:rPr>
      <w:sz w:val="18"/>
    </w:rPr>
  </w:style>
  <w:style w:type="character" w:customStyle="1" w:styleId="31">
    <w:name w:val="页脚 字符"/>
    <w:link w:val="11"/>
    <w:qFormat/>
    <w:locked/>
    <w:uiPriority w:val="99"/>
    <w:rPr>
      <w:sz w:val="18"/>
    </w:rPr>
  </w:style>
  <w:style w:type="character" w:customStyle="1" w:styleId="32">
    <w:name w:val="正文文本 字符"/>
    <w:link w:val="6"/>
    <w:qFormat/>
    <w:locked/>
    <w:uiPriority w:val="99"/>
    <w:rPr>
      <w:rFonts w:ascii="仿宋_GB2312" w:hAnsi="Times New Roman" w:eastAsia="仿宋_GB2312"/>
      <w:sz w:val="24"/>
    </w:rPr>
  </w:style>
  <w:style w:type="paragraph" w:customStyle="1" w:styleId="3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34">
    <w:name w:val="列表段落1"/>
    <w:basedOn w:val="1"/>
    <w:qFormat/>
    <w:uiPriority w:val="34"/>
    <w:pPr>
      <w:ind w:firstLine="420" w:firstLineChars="200"/>
    </w:pPr>
  </w:style>
  <w:style w:type="paragraph" w:customStyle="1" w:styleId="35">
    <w:name w:val="TOC 标题1"/>
    <w:basedOn w:val="2"/>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36">
    <w:name w:val="TOC Heading1"/>
    <w:basedOn w:val="2"/>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3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styleId="38">
    <w:name w:val="List Paragraph"/>
    <w:basedOn w:val="1"/>
    <w:qFormat/>
    <w:uiPriority w:val="34"/>
    <w:pPr>
      <w:ind w:firstLine="420" w:firstLineChars="200"/>
    </w:pPr>
  </w:style>
  <w:style w:type="paragraph" w:customStyle="1" w:styleId="39">
    <w:name w:val="正文文本1"/>
    <w:basedOn w:val="1"/>
    <w:qFormat/>
    <w:uiPriority w:val="0"/>
    <w:pPr>
      <w:spacing w:before="93"/>
    </w:pPr>
    <w:rPr>
      <w:rFonts w:ascii="仿宋_GB2312" w:hAnsi="仿宋_GB2312" w:eastAsia="仿宋_GB2312" w:cs="Times New Roman"/>
      <w:kern w:val="0"/>
      <w:sz w:val="30"/>
      <w:szCs w:val="20"/>
    </w:rPr>
  </w:style>
  <w:style w:type="paragraph" w:customStyle="1" w:styleId="40">
    <w:name w:val="文档正文"/>
    <w:basedOn w:val="1"/>
    <w:unhideWhenUsed/>
    <w:uiPriority w:val="0"/>
    <w:pPr>
      <w:adjustRightInd w:val="0"/>
      <w:spacing w:beforeLines="0" w:afterLines="0" w:line="480" w:lineRule="atLeast"/>
      <w:textAlignment w:val="baseline"/>
    </w:pPr>
    <w:rPr>
      <w:rFonts w:hint="default" w:ascii="Arial" w:hAnsi="Arial"/>
      <w:kern w:val="0"/>
      <w:sz w:val="21"/>
      <w:szCs w:val="24"/>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24037;&#20316;&#31807;2"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2"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2"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1"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收、支决算总计变动情况图</a:t>
            </a:r>
          </a:p>
        </c:rich>
      </c:tx>
      <c:layout>
        <c:manualLayout>
          <c:xMode val="edge"/>
          <c:yMode val="edge"/>
          <c:x val="0.258888888888889"/>
          <c:y val="0.0087463556851312"/>
        </c:manualLayout>
      </c:layout>
      <c:overlay val="0"/>
      <c:spPr>
        <a:noFill/>
        <a:ln>
          <a:noFill/>
        </a:ln>
        <a:effectLst/>
      </c:spPr>
    </c:title>
    <c:autoTitleDeleted val="0"/>
    <c:plotArea>
      <c:layout>
        <c:manualLayout>
          <c:layoutTarget val="inner"/>
          <c:xMode val="edge"/>
          <c:yMode val="edge"/>
          <c:x val="0.118555555555556"/>
          <c:y val="0.215160349854227"/>
          <c:w val="0.842555555555556"/>
          <c:h val="0.637434402332362"/>
        </c:manualLayout>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[工作簿1]Sheet1!$F$10:$F$11</c:f>
              <c:strCache>
                <c:ptCount val="2"/>
                <c:pt idx="0">
                  <c:v>2019年</c:v>
                </c:pt>
                <c:pt idx="1">
                  <c:v>2020年</c:v>
                </c:pt>
              </c:strCache>
            </c:strRef>
          </c:cat>
          <c:val>
            <c:numRef>
              <c:f>[工作簿1]Sheet1!$G$10:$G$11</c:f>
              <c:numCache>
                <c:formatCode>#,##0.00</c:formatCode>
                <c:ptCount val="2"/>
                <c:pt idx="0">
                  <c:v>4043.04</c:v>
                </c:pt>
                <c:pt idx="1">
                  <c:v>4162.99</c:v>
                </c:pt>
              </c:numCache>
            </c:numRef>
          </c:val>
        </c:ser>
        <c:dLbls>
          <c:showLegendKey val="0"/>
          <c:showVal val="1"/>
          <c:showCatName val="0"/>
          <c:showSerName val="0"/>
          <c:showPercent val="0"/>
          <c:showBubbleSize val="0"/>
        </c:dLbls>
        <c:gapWidth val="219"/>
        <c:overlap val="-27"/>
        <c:axId val="377082097"/>
        <c:axId val="409432029"/>
      </c:barChart>
      <c:catAx>
        <c:axId val="37708209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09432029"/>
        <c:crosses val="autoZero"/>
        <c:auto val="1"/>
        <c:lblAlgn val="ctr"/>
        <c:lblOffset val="100"/>
        <c:noMultiLvlLbl val="0"/>
      </c:catAx>
      <c:valAx>
        <c:axId val="409432029"/>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7708209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2020年收入决算结构图</a:t>
            </a:r>
          </a:p>
        </c:rich>
      </c:tx>
      <c:layout/>
      <c:overlay val="0"/>
      <c:spPr>
        <a:noFill/>
        <a:ln>
          <a:noFill/>
        </a:ln>
        <a:effectLst/>
      </c:spPr>
    </c:title>
    <c:autoTitleDeleted val="0"/>
    <c:plotArea>
      <c:layout/>
      <c:pieChart>
        <c:varyColors val="1"/>
        <c:ser>
          <c:idx val="0"/>
          <c:order val="0"/>
          <c:tx>
            <c:strRef>
              <c:f>[工作簿1]Sheet1!$G$30</c:f>
              <c:strCache>
                <c:ptCount val="1"/>
                <c:pt idx="0">
                  <c:v>2020年</c:v>
                </c:pt>
              </c:strCache>
            </c:strRef>
          </c:tx>
          <c:spPr/>
          <c:explosion val="0"/>
          <c:dPt>
            <c:idx val="0"/>
            <c:bubble3D val="0"/>
            <c:spPr>
              <a:solidFill>
                <a:schemeClr val="accent1"/>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val>
            <c:numRef>
              <c:f>[工作簿1]Sheet1!$H$30</c:f>
              <c:numCache>
                <c:formatCode>General</c:formatCode>
                <c:ptCount val="1"/>
                <c:pt idx="0">
                  <c:v>3406.96</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支出决算结构图</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[工作簿2]Sheet1!$F$13:$F$14</c:f>
              <c:strCache>
                <c:ptCount val="2"/>
                <c:pt idx="0">
                  <c:v>基本支出</c:v>
                </c:pt>
                <c:pt idx="1">
                  <c:v>项目支出</c:v>
                </c:pt>
              </c:strCache>
            </c:strRef>
          </c:cat>
          <c:val>
            <c:numRef>
              <c:f>[工作簿2]Sheet1!$G$13:$G$14</c:f>
              <c:numCache>
                <c:formatCode>#,##0.00</c:formatCode>
                <c:ptCount val="2"/>
                <c:pt idx="0">
                  <c:v>2594.03</c:v>
                </c:pt>
                <c:pt idx="1">
                  <c:v>1205.58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财政拨款收、支决算总计变动情况</a:t>
            </a:r>
          </a:p>
        </c:rich>
      </c:tx>
      <c:layout/>
      <c:overlay val="0"/>
      <c:spPr>
        <a:noFill/>
        <a:ln>
          <a:noFill/>
        </a:ln>
        <a:effectLst/>
      </c:spPr>
    </c:title>
    <c:autoTitleDeleted val="0"/>
    <c:plotArea>
      <c:layout>
        <c:manualLayout>
          <c:layoutTarget val="inner"/>
          <c:xMode val="edge"/>
          <c:yMode val="edge"/>
          <c:x val="0.166807738814994"/>
          <c:y val="0.262258953168044"/>
          <c:w val="0.828657799274486"/>
          <c:h val="0.657410468319559"/>
        </c:manualLayout>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[工作簿2]Sheet1!$H$48:$H$49</c:f>
              <c:strCache>
                <c:ptCount val="2"/>
                <c:pt idx="0">
                  <c:v>2019年</c:v>
                </c:pt>
                <c:pt idx="1">
                  <c:v>2020年</c:v>
                </c:pt>
              </c:strCache>
            </c:strRef>
          </c:cat>
          <c:val>
            <c:numRef>
              <c:f>[工作簿2]Sheet1!$I$48:$I$49</c:f>
              <c:numCache>
                <c:formatCode>#,##0.00</c:formatCode>
                <c:ptCount val="2"/>
                <c:pt idx="0">
                  <c:v>3827.18</c:v>
                </c:pt>
                <c:pt idx="1">
                  <c:v>4162.99</c:v>
                </c:pt>
              </c:numCache>
            </c:numRef>
          </c:val>
        </c:ser>
        <c:dLbls>
          <c:showLegendKey val="0"/>
          <c:showVal val="1"/>
          <c:showCatName val="0"/>
          <c:showSerName val="0"/>
          <c:showPercent val="0"/>
          <c:showBubbleSize val="0"/>
        </c:dLbls>
        <c:gapWidth val="219"/>
        <c:overlap val="-27"/>
        <c:axId val="10075506"/>
        <c:axId val="753943407"/>
      </c:barChart>
      <c:catAx>
        <c:axId val="1007550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3943407"/>
        <c:crosses val="autoZero"/>
        <c:auto val="1"/>
        <c:lblAlgn val="ctr"/>
        <c:lblOffset val="100"/>
        <c:noMultiLvlLbl val="0"/>
      </c:catAx>
      <c:valAx>
        <c:axId val="753943407"/>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007550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一般公共预算财政拨款支出决算变动情况</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[工作簿2]Sheet1!$G$56:$G$57</c:f>
              <c:strCache>
                <c:ptCount val="2"/>
                <c:pt idx="0">
                  <c:v>2019年</c:v>
                </c:pt>
                <c:pt idx="1">
                  <c:v>2020年</c:v>
                </c:pt>
              </c:strCache>
            </c:strRef>
          </c:cat>
          <c:val>
            <c:numRef>
              <c:f>[工作簿2]Sheet1!$H$56:$H$57</c:f>
              <c:numCache>
                <c:formatCode>#,##0.00</c:formatCode>
                <c:ptCount val="2"/>
                <c:pt idx="0">
                  <c:v>3763.29</c:v>
                </c:pt>
                <c:pt idx="1">
                  <c:v>3799.61</c:v>
                </c:pt>
              </c:numCache>
            </c:numRef>
          </c:val>
        </c:ser>
        <c:dLbls>
          <c:showLegendKey val="0"/>
          <c:showVal val="1"/>
          <c:showCatName val="0"/>
          <c:showSerName val="0"/>
          <c:showPercent val="0"/>
          <c:showBubbleSize val="0"/>
        </c:dLbls>
        <c:gapWidth val="219"/>
        <c:overlap val="-27"/>
        <c:axId val="499240280"/>
        <c:axId val="616735563"/>
      </c:barChart>
      <c:catAx>
        <c:axId val="49924028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16735563"/>
        <c:crosses val="autoZero"/>
        <c:auto val="1"/>
        <c:lblAlgn val="ctr"/>
        <c:lblOffset val="100"/>
        <c:noMultiLvlLbl val="0"/>
      </c:catAx>
      <c:valAx>
        <c:axId val="616735563"/>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992402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Lbl>
              <c:idx val="0"/>
              <c:layout>
                <c:manualLayout>
                  <c:x val="0.0600799635531222"/>
                  <c:y val="-0.0059399507686238"/>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600152718618653"/>
                  <c:y val="-0.173536959143551"/>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598032432292075"/>
                  <c:y val="0.0632767149100997"/>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866875171330854"/>
                  <c:y val="0.00962633234512826"/>
                </c:manualLayout>
              </c:layout>
              <c:dLblPos val="bestFit"/>
              <c:showLegendKey val="0"/>
              <c:showVal val="1"/>
              <c:showCatName val="0"/>
              <c:showSerName val="0"/>
              <c:showPercent val="0"/>
              <c:showBubbleSize val="0"/>
              <c:extLst>
                <c:ext xmlns:c15="http://schemas.microsoft.com/office/drawing/2012/chart" uri="{CE6537A1-D6FC-4f65-9D91-7224C49458BB}">
                  <c15:layout>
                    <c:manualLayout>
                      <c:w val="0.120272314674735"/>
                      <c:h val="0.0437894736842105"/>
                    </c:manualLayout>
                  </c15:layout>
                </c:ext>
              </c:extLst>
            </c:dLbl>
            <c:dLbl>
              <c:idx val="4"/>
              <c:layout>
                <c:manualLayout>
                  <c:x val="-0.0815269226492013"/>
                  <c:y val="-0.0180599906330872"/>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[工作簿1]Sheet1!$F$8:$F$12</c:f>
              <c:strCache>
                <c:ptCount val="5"/>
                <c:pt idx="0">
                  <c:v>科学技术支出</c:v>
                </c:pt>
                <c:pt idx="1">
                  <c:v>文化旅游体育与传媒支出</c:v>
                </c:pt>
                <c:pt idx="2">
                  <c:v>社会保障和就业支出</c:v>
                </c:pt>
                <c:pt idx="3">
                  <c:v>卫生健康支出</c:v>
                </c:pt>
                <c:pt idx="4">
                  <c:v>住房保障支出</c:v>
                </c:pt>
              </c:strCache>
            </c:strRef>
          </c:cat>
          <c:val>
            <c:numRef>
              <c:f>[工作簿1]Sheet1!$G$8:$G$12</c:f>
              <c:numCache>
                <c:formatCode>#,##0.00</c:formatCode>
                <c:ptCount val="5"/>
                <c:pt idx="0">
                  <c:v>10</c:v>
                </c:pt>
                <c:pt idx="1">
                  <c:v>3430.83</c:v>
                </c:pt>
                <c:pt idx="2">
                  <c:v>164.43</c:v>
                </c:pt>
                <c:pt idx="3">
                  <c:v>80.24</c:v>
                </c:pt>
                <c:pt idx="4">
                  <c:v>114.11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a:t>
            </a:r>
            <a:r>
              <a:rPr altLang="en-US"/>
              <a:t>三公</a:t>
            </a:r>
            <a:r>
              <a:rPr lang="en-US" altLang="zh-CN"/>
              <a:t>”</a:t>
            </a:r>
            <a:r>
              <a:rPr altLang="en-US"/>
              <a:t>经费财政拨款支出结构</a:t>
            </a:r>
            <a:endParaRPr altLang="en-US"/>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[工作簿1]Sheet1!$F$39:$H$39</c:f>
              <c:strCache>
                <c:ptCount val="3"/>
                <c:pt idx="0">
                  <c:v>因公出国（境）费</c:v>
                </c:pt>
                <c:pt idx="1">
                  <c:v>公务用车购置及运行费</c:v>
                </c:pt>
                <c:pt idx="2">
                  <c:v>公务接待费</c:v>
                </c:pt>
              </c:strCache>
            </c:strRef>
          </c:cat>
          <c:val>
            <c:numRef>
              <c:f>[工作簿1]Sheet1!$F$40:$H$40</c:f>
              <c:numCache>
                <c:formatCode>General</c:formatCode>
                <c:ptCount val="3"/>
                <c:pt idx="1" c:formatCode="#,##0.00">
                  <c:v>154.23</c:v>
                </c:pt>
                <c:pt idx="2" c:formatCode="#,##0.00">
                  <c:v>41.15</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9CAE55-CD1B-4B4A-B759-66D9AAD6058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Pages>
  <Words>1576</Words>
  <Characters>8984</Characters>
  <Lines>1</Lines>
  <Paragraphs>1</Paragraphs>
  <TotalTime>27</TotalTime>
  <ScaleCrop>false</ScaleCrop>
  <LinksUpToDate>false</LinksUpToDate>
  <CharactersWithSpaces>10539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2021-08-06T09:38:00Z</dcterms:created>
  <dc:creator>曹颖</dc:creator>
  <cp:lastModifiedBy>DELL</cp:lastModifiedBy>
  <cp:lastPrinted>2021-07-29T03:56:00Z</cp:lastPrinted>
  <dcterms:modified xsi:type="dcterms:W3CDTF">2021-09-22T03:05:11Z</dcterms:modified>
  <dc:title>阿坝州部门决算说明</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3EE0F6F9797142F1B6D96D7B3D899D4A</vt:lpwstr>
  </property>
</Properties>
</file>